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8D497" w14:textId="77777777" w:rsidR="00C23B8E" w:rsidRPr="00C23B8E" w:rsidRDefault="00C23B8E" w:rsidP="00C23B8E">
      <w:pPr>
        <w:spacing w:after="120"/>
        <w:rPr>
          <w:color w:val="000000" w:themeColor="text1"/>
        </w:rPr>
      </w:pPr>
    </w:p>
    <w:p w14:paraId="7085753B" w14:textId="77777777" w:rsidR="00853954" w:rsidRPr="00DC3643" w:rsidRDefault="00853954" w:rsidP="00853954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DC3643">
        <w:rPr>
          <w:color w:val="000000" w:themeColor="text1"/>
        </w:rPr>
        <w:t xml:space="preserve">How is Isaiah 54:1 </w:t>
      </w:r>
      <w:r w:rsidR="00EB59F4" w:rsidRPr="00DC3643">
        <w:rPr>
          <w:color w:val="000000" w:themeColor="text1"/>
        </w:rPr>
        <w:t>(</w:t>
      </w:r>
      <w:r w:rsidRPr="00DC3643">
        <w:rPr>
          <w:color w:val="000000" w:themeColor="text1"/>
        </w:rPr>
        <w:t xml:space="preserve">Sing, O </w:t>
      </w:r>
      <w:r w:rsidRPr="00DC3643">
        <w:rPr>
          <w:b/>
          <w:color w:val="000000" w:themeColor="text1"/>
        </w:rPr>
        <w:t>barren</w:t>
      </w:r>
      <w:r w:rsidRPr="00DC3643">
        <w:rPr>
          <w:color w:val="000000" w:themeColor="text1"/>
        </w:rPr>
        <w:t xml:space="preserve">, You who have </w:t>
      </w:r>
      <w:r w:rsidRPr="00DC3643">
        <w:rPr>
          <w:b/>
          <w:color w:val="000000" w:themeColor="text1"/>
        </w:rPr>
        <w:t>not borne</w:t>
      </w:r>
      <w:r w:rsidRPr="00DC3643">
        <w:rPr>
          <w:color w:val="000000" w:themeColor="text1"/>
        </w:rPr>
        <w:t>!) thematically connected to the Torah portion?</w:t>
      </w:r>
      <w:r w:rsidRPr="00DC3643">
        <w:rPr>
          <w:rStyle w:val="EndnoteReference"/>
          <w:color w:val="000000" w:themeColor="text1"/>
        </w:rPr>
        <w:endnoteReference w:id="1"/>
      </w:r>
    </w:p>
    <w:p w14:paraId="4AEF43F5" w14:textId="77777777" w:rsidR="00EB59F4" w:rsidRPr="00DC3643" w:rsidRDefault="00EB59F4" w:rsidP="00EB59F4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DC3643">
        <w:rPr>
          <w:color w:val="000000" w:themeColor="text1"/>
        </w:rPr>
        <w:t xml:space="preserve">How is Isaiah 54:1 (For more are the children of the </w:t>
      </w:r>
      <w:r w:rsidRPr="00DC3643">
        <w:rPr>
          <w:b/>
          <w:color w:val="000000" w:themeColor="text1"/>
        </w:rPr>
        <w:t>desolate</w:t>
      </w:r>
      <w:r w:rsidRPr="00DC3643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2"/>
      </w:r>
    </w:p>
    <w:p w14:paraId="580EDAA8" w14:textId="1C204B71" w:rsidR="00EB59F4" w:rsidRPr="00DC3643" w:rsidRDefault="00EB59F4" w:rsidP="00EB59F4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DC3643">
        <w:rPr>
          <w:color w:val="000000" w:themeColor="text1"/>
        </w:rPr>
        <w:t>How is Isaiah 54:</w:t>
      </w:r>
      <w:r w:rsidR="00C8381E" w:rsidRPr="00DC3643">
        <w:rPr>
          <w:color w:val="000000" w:themeColor="text1"/>
        </w:rPr>
        <w:t>2</w:t>
      </w:r>
      <w:r w:rsidRPr="00DC3643">
        <w:rPr>
          <w:color w:val="000000" w:themeColor="text1"/>
        </w:rPr>
        <w:t xml:space="preserve"> </w:t>
      </w:r>
      <w:r w:rsidR="00C8381E" w:rsidRPr="00DC3643">
        <w:rPr>
          <w:color w:val="000000" w:themeColor="text1"/>
        </w:rPr>
        <w:t>(</w:t>
      </w:r>
      <w:r w:rsidR="00C8381E" w:rsidRPr="00DC3643">
        <w:rPr>
          <w:b/>
          <w:color w:val="000000" w:themeColor="text1"/>
        </w:rPr>
        <w:t>Enlarge</w:t>
      </w:r>
      <w:r w:rsidR="00C8381E" w:rsidRPr="00DC3643">
        <w:rPr>
          <w:color w:val="000000" w:themeColor="text1"/>
        </w:rPr>
        <w:t xml:space="preserve"> the place of your </w:t>
      </w:r>
      <w:r w:rsidR="00C8381E" w:rsidRPr="00DC3643">
        <w:rPr>
          <w:b/>
          <w:color w:val="000000" w:themeColor="text1"/>
        </w:rPr>
        <w:t>tent</w:t>
      </w:r>
      <w:r w:rsidRPr="00DC3643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3"/>
      </w:r>
    </w:p>
    <w:p w14:paraId="4CE731E7" w14:textId="702F46B1" w:rsidR="00EB59F4" w:rsidRPr="00DC3643" w:rsidRDefault="00EB59F4" w:rsidP="00773B6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DC3643">
        <w:rPr>
          <w:color w:val="000000" w:themeColor="text1"/>
        </w:rPr>
        <w:t>How is Isaiah 54:</w:t>
      </w:r>
      <w:r w:rsidR="00773B6D" w:rsidRPr="00DC3643">
        <w:rPr>
          <w:color w:val="000000" w:themeColor="text1"/>
        </w:rPr>
        <w:t>3</w:t>
      </w:r>
      <w:r w:rsidRPr="00DC3643">
        <w:rPr>
          <w:color w:val="000000" w:themeColor="text1"/>
        </w:rPr>
        <w:t xml:space="preserve"> </w:t>
      </w:r>
      <w:r w:rsidR="00773B6D" w:rsidRPr="00DC3643">
        <w:rPr>
          <w:color w:val="000000" w:themeColor="text1"/>
        </w:rPr>
        <w:t>(</w:t>
      </w:r>
      <w:r w:rsidR="00771F2F" w:rsidRPr="007A22AF">
        <w:t xml:space="preserve">Your descendants will </w:t>
      </w:r>
      <w:r w:rsidR="00771F2F" w:rsidRPr="007A22AF">
        <w:rPr>
          <w:b/>
        </w:rPr>
        <w:t>inherit the nations</w:t>
      </w:r>
      <w:r w:rsidR="00771F2F" w:rsidRPr="007A22AF">
        <w:t xml:space="preserve">, and </w:t>
      </w:r>
      <w:r w:rsidR="00771F2F" w:rsidRPr="007A22AF">
        <w:rPr>
          <w:b/>
        </w:rPr>
        <w:t>make the desolate cities inhabited</w:t>
      </w:r>
      <w:r w:rsidRPr="00DC3643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4"/>
      </w:r>
    </w:p>
    <w:p w14:paraId="5C7240B6" w14:textId="7949DCB0" w:rsidR="00EB59F4" w:rsidRPr="00B66984" w:rsidRDefault="00EB59F4" w:rsidP="00B66984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</w:rPr>
      </w:pPr>
      <w:r w:rsidRPr="00DC3643">
        <w:rPr>
          <w:color w:val="000000" w:themeColor="text1"/>
        </w:rPr>
        <w:t xml:space="preserve">How is Isaiah </w:t>
      </w:r>
      <w:r w:rsidR="00DC3643" w:rsidRPr="00DC3643">
        <w:rPr>
          <w:color w:val="000000" w:themeColor="text1"/>
        </w:rPr>
        <w:t>54:9</w:t>
      </w:r>
      <w:r w:rsidRPr="00DC3643">
        <w:rPr>
          <w:color w:val="000000" w:themeColor="text1"/>
        </w:rPr>
        <w:t xml:space="preserve"> (</w:t>
      </w:r>
      <w:r w:rsidR="00DC3643" w:rsidRPr="00DC3643">
        <w:rPr>
          <w:color w:val="000000" w:themeColor="text1"/>
        </w:rPr>
        <w:t xml:space="preserve">For this is like </w:t>
      </w:r>
      <w:r w:rsidR="00DC3643" w:rsidRPr="00B66984">
        <w:rPr>
          <w:b/>
          <w:color w:val="000000" w:themeColor="text1"/>
        </w:rPr>
        <w:t>the waters of Noah</w:t>
      </w:r>
      <w:r w:rsidR="00DC3643" w:rsidRPr="00DC3643">
        <w:rPr>
          <w:color w:val="000000" w:themeColor="text1"/>
        </w:rPr>
        <w:t xml:space="preserve"> to me</w:t>
      </w:r>
      <w:r w:rsidR="00B66984">
        <w:rPr>
          <w:color w:val="000000" w:themeColor="text1"/>
        </w:rPr>
        <w:t xml:space="preserve">, </w:t>
      </w:r>
      <w:r w:rsidR="00B66984" w:rsidRPr="00B66984">
        <w:rPr>
          <w:color w:val="000000" w:themeColor="text1"/>
        </w:rPr>
        <w:t>For as I have sworn</w:t>
      </w:r>
      <w:r w:rsidR="00B66984">
        <w:rPr>
          <w:color w:val="000000" w:themeColor="text1"/>
        </w:rPr>
        <w:t xml:space="preserve"> </w:t>
      </w:r>
      <w:r w:rsidR="00B66984" w:rsidRPr="00B66984">
        <w:rPr>
          <w:color w:val="000000" w:themeColor="text1"/>
        </w:rPr>
        <w:t xml:space="preserve">That </w:t>
      </w:r>
      <w:r w:rsidR="00B66984" w:rsidRPr="00B66984">
        <w:rPr>
          <w:b/>
          <w:color w:val="000000" w:themeColor="text1"/>
        </w:rPr>
        <w:t>the waters of Noah</w:t>
      </w:r>
      <w:r w:rsidR="00B66984" w:rsidRPr="00B66984">
        <w:rPr>
          <w:color w:val="000000" w:themeColor="text1"/>
        </w:rPr>
        <w:t xml:space="preserve"> would no longer cover the earth</w:t>
      </w:r>
      <w:r w:rsidRPr="00B66984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5"/>
      </w:r>
    </w:p>
    <w:p w14:paraId="43A8DFF4" w14:textId="290FD1F7" w:rsidR="007A22AF" w:rsidRPr="00DC3643" w:rsidRDefault="007A22AF" w:rsidP="007A22AF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DC3643">
        <w:rPr>
          <w:color w:val="000000" w:themeColor="text1"/>
        </w:rPr>
        <w:t xml:space="preserve">How is Isaiah </w:t>
      </w:r>
      <w:r w:rsidR="00E62615">
        <w:rPr>
          <w:color w:val="000000" w:themeColor="text1"/>
        </w:rPr>
        <w:t>55:3 (</w:t>
      </w:r>
      <w:r w:rsidR="00E62615" w:rsidRPr="00E62615">
        <w:rPr>
          <w:color w:val="000000" w:themeColor="text1"/>
        </w:rPr>
        <w:t>The everlasting covenant</w:t>
      </w:r>
      <w:r w:rsidRPr="00DC3643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6"/>
      </w:r>
    </w:p>
    <w:p w14:paraId="70FE7E85" w14:textId="25361E8C" w:rsidR="00E62615" w:rsidRPr="003D377F" w:rsidRDefault="00E62615" w:rsidP="003D377F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</w:rPr>
      </w:pPr>
      <w:r w:rsidRPr="00DC3643">
        <w:rPr>
          <w:color w:val="000000" w:themeColor="text1"/>
        </w:rPr>
        <w:t xml:space="preserve">How is Isaiah </w:t>
      </w:r>
      <w:r w:rsidR="003D377F">
        <w:rPr>
          <w:color w:val="000000" w:themeColor="text1"/>
        </w:rPr>
        <w:t>54:11</w:t>
      </w:r>
      <w:r>
        <w:rPr>
          <w:color w:val="000000" w:themeColor="text1"/>
        </w:rPr>
        <w:t xml:space="preserve"> (</w:t>
      </w:r>
      <w:r w:rsidR="003D377F" w:rsidRPr="003D377F">
        <w:rPr>
          <w:color w:val="000000" w:themeColor="text1"/>
        </w:rPr>
        <w:t>O you afflicted one,</w:t>
      </w:r>
      <w:r w:rsidR="003D377F">
        <w:rPr>
          <w:color w:val="000000" w:themeColor="text1"/>
        </w:rPr>
        <w:t xml:space="preserve"> </w:t>
      </w:r>
      <w:r w:rsidR="003D377F" w:rsidRPr="003D377F">
        <w:rPr>
          <w:color w:val="000000" w:themeColor="text1"/>
        </w:rPr>
        <w:t xml:space="preserve">Tossed with </w:t>
      </w:r>
      <w:r w:rsidR="003D377F" w:rsidRPr="003D377F">
        <w:rPr>
          <w:b/>
          <w:color w:val="000000" w:themeColor="text1"/>
        </w:rPr>
        <w:t>tempest</w:t>
      </w:r>
      <w:r w:rsidRPr="003D377F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7"/>
      </w:r>
    </w:p>
    <w:p w14:paraId="7628454D" w14:textId="4038DAC8" w:rsidR="00E62615" w:rsidRPr="00FD43A5" w:rsidRDefault="00E62615" w:rsidP="00FD43A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DC3643">
        <w:rPr>
          <w:color w:val="000000" w:themeColor="text1"/>
        </w:rPr>
        <w:t xml:space="preserve">How is Isaiah </w:t>
      </w:r>
      <w:r w:rsidR="00FD43A5">
        <w:rPr>
          <w:color w:val="000000" w:themeColor="text1"/>
        </w:rPr>
        <w:t>54:16</w:t>
      </w:r>
      <w:r>
        <w:rPr>
          <w:color w:val="000000" w:themeColor="text1"/>
        </w:rPr>
        <w:t xml:space="preserve"> (</w:t>
      </w:r>
      <w:r w:rsidR="00FD43A5" w:rsidRPr="00FD43A5">
        <w:rPr>
          <w:color w:val="000000" w:themeColor="text1"/>
        </w:rPr>
        <w:t>I created the blacksmith . . . The spoiler to destroy</w:t>
      </w:r>
      <w:r w:rsidRPr="00FD43A5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8"/>
      </w:r>
    </w:p>
    <w:p w14:paraId="0F208C1A" w14:textId="72E371D2" w:rsidR="00E62615" w:rsidRPr="0010088A" w:rsidRDefault="00E62615" w:rsidP="0010088A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DC3643">
        <w:rPr>
          <w:color w:val="000000" w:themeColor="text1"/>
        </w:rPr>
        <w:t xml:space="preserve">How is Isaiah </w:t>
      </w:r>
      <w:r w:rsidR="00D71185">
        <w:rPr>
          <w:color w:val="000000" w:themeColor="text1"/>
        </w:rPr>
        <w:t>54:14</w:t>
      </w:r>
      <w:r>
        <w:rPr>
          <w:color w:val="000000" w:themeColor="text1"/>
        </w:rPr>
        <w:t xml:space="preserve"> (</w:t>
      </w:r>
      <w:r w:rsidR="0010088A" w:rsidRPr="0010088A">
        <w:rPr>
          <w:color w:val="000000" w:themeColor="text1"/>
        </w:rPr>
        <w:t xml:space="preserve">In </w:t>
      </w:r>
      <w:r w:rsidR="0010088A" w:rsidRPr="0010088A">
        <w:rPr>
          <w:b/>
          <w:color w:val="000000" w:themeColor="text1"/>
        </w:rPr>
        <w:t>righteousness</w:t>
      </w:r>
      <w:r w:rsidR="0010088A" w:rsidRPr="0010088A">
        <w:rPr>
          <w:color w:val="000000" w:themeColor="text1"/>
        </w:rPr>
        <w:t xml:space="preserve"> you shall be established</w:t>
      </w:r>
      <w:r w:rsidRPr="0010088A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9"/>
      </w:r>
    </w:p>
    <w:p w14:paraId="45DEE5CF" w14:textId="30F4A91C" w:rsidR="00E62615" w:rsidRPr="00DC3643" w:rsidRDefault="00E62615" w:rsidP="00E6261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DC3643">
        <w:rPr>
          <w:color w:val="000000" w:themeColor="text1"/>
        </w:rPr>
        <w:t xml:space="preserve">How is Isaiah </w:t>
      </w:r>
      <w:r>
        <w:rPr>
          <w:color w:val="000000" w:themeColor="text1"/>
        </w:rPr>
        <w:t>55:</w:t>
      </w:r>
      <w:r w:rsidR="005A5A43">
        <w:rPr>
          <w:color w:val="000000" w:themeColor="text1"/>
        </w:rPr>
        <w:t>1</w:t>
      </w:r>
      <w:r>
        <w:rPr>
          <w:color w:val="000000" w:themeColor="text1"/>
        </w:rPr>
        <w:t xml:space="preserve"> (</w:t>
      </w:r>
      <w:r w:rsidR="005A5A43" w:rsidRPr="005A5A43">
        <w:rPr>
          <w:color w:val="000000" w:themeColor="text1"/>
        </w:rPr>
        <w:t>Yes</w:t>
      </w:r>
      <w:r w:rsidR="005A5A43">
        <w:rPr>
          <w:color w:val="000000" w:themeColor="text1"/>
        </w:rPr>
        <w:t xml:space="preserve">, come, buy </w:t>
      </w:r>
      <w:r w:rsidR="005A5A43" w:rsidRPr="005A5A43">
        <w:rPr>
          <w:b/>
          <w:color w:val="000000" w:themeColor="text1"/>
        </w:rPr>
        <w:t>wine</w:t>
      </w:r>
      <w:r w:rsidR="005A5A43">
        <w:rPr>
          <w:color w:val="000000" w:themeColor="text1"/>
        </w:rPr>
        <w:t xml:space="preserve"> and milk, </w:t>
      </w:r>
      <w:r w:rsidR="005A5A43" w:rsidRPr="005A5A43">
        <w:rPr>
          <w:color w:val="000000" w:themeColor="text1"/>
        </w:rPr>
        <w:t>Without money and without price</w:t>
      </w:r>
      <w:r w:rsidRPr="00DC3643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10"/>
      </w:r>
    </w:p>
    <w:p w14:paraId="45308A07" w14:textId="0713C863" w:rsidR="00E62615" w:rsidRPr="009011DD" w:rsidRDefault="00E62615" w:rsidP="009011D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DC3643">
        <w:rPr>
          <w:color w:val="000000" w:themeColor="text1"/>
        </w:rPr>
        <w:t xml:space="preserve">How is Isaiah </w:t>
      </w:r>
      <w:r>
        <w:rPr>
          <w:color w:val="000000" w:themeColor="text1"/>
        </w:rPr>
        <w:t>55:</w:t>
      </w:r>
      <w:r w:rsidR="009011DD">
        <w:rPr>
          <w:color w:val="000000" w:themeColor="text1"/>
        </w:rPr>
        <w:t>1</w:t>
      </w:r>
      <w:r>
        <w:rPr>
          <w:color w:val="000000" w:themeColor="text1"/>
        </w:rPr>
        <w:t xml:space="preserve"> (</w:t>
      </w:r>
      <w:proofErr w:type="gramStart"/>
      <w:r w:rsidR="009011DD" w:rsidRPr="009011DD">
        <w:rPr>
          <w:color w:val="000000" w:themeColor="text1"/>
        </w:rPr>
        <w:t>Ho!</w:t>
      </w:r>
      <w:proofErr w:type="gramEnd"/>
      <w:r w:rsidR="009011DD" w:rsidRPr="009011DD">
        <w:rPr>
          <w:color w:val="000000" w:themeColor="text1"/>
        </w:rPr>
        <w:t xml:space="preserve"> Everyone who thirsts, </w:t>
      </w:r>
      <w:r w:rsidR="009011DD" w:rsidRPr="009011DD">
        <w:rPr>
          <w:b/>
          <w:color w:val="000000" w:themeColor="text1"/>
        </w:rPr>
        <w:t>Come</w:t>
      </w:r>
      <w:r w:rsidR="009011DD">
        <w:rPr>
          <w:color w:val="000000" w:themeColor="text1"/>
        </w:rPr>
        <w:t xml:space="preserve"> to the waters</w:t>
      </w:r>
      <w:r w:rsidRPr="009011DD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11"/>
      </w:r>
    </w:p>
    <w:p w14:paraId="1C4AC04C" w14:textId="7969A6AF" w:rsidR="00E62615" w:rsidRPr="00DC3643" w:rsidRDefault="00E62615" w:rsidP="00E6261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DC3643">
        <w:rPr>
          <w:color w:val="000000" w:themeColor="text1"/>
        </w:rPr>
        <w:t xml:space="preserve">How is Isaiah </w:t>
      </w:r>
      <w:r w:rsidR="0041294E">
        <w:rPr>
          <w:color w:val="000000" w:themeColor="text1"/>
        </w:rPr>
        <w:t>55:4</w:t>
      </w:r>
      <w:r>
        <w:rPr>
          <w:color w:val="000000" w:themeColor="text1"/>
        </w:rPr>
        <w:t xml:space="preserve"> (</w:t>
      </w:r>
      <w:r w:rsidR="0041294E" w:rsidRPr="0041294E">
        <w:rPr>
          <w:color w:val="000000" w:themeColor="text1"/>
        </w:rPr>
        <w:t xml:space="preserve">Indeed I have given him as a witness to the people, A </w:t>
      </w:r>
      <w:r w:rsidR="0041294E" w:rsidRPr="0041294E">
        <w:rPr>
          <w:b/>
          <w:color w:val="000000" w:themeColor="text1"/>
        </w:rPr>
        <w:t>leader and commander for the people</w:t>
      </w:r>
      <w:r w:rsidRPr="00DC3643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12"/>
      </w:r>
    </w:p>
    <w:p w14:paraId="26295F22" w14:textId="5E9CC06A" w:rsidR="00853954" w:rsidRDefault="0041294E" w:rsidP="00EC1966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</w:rPr>
      </w:pPr>
      <w:r w:rsidRPr="00DC3643">
        <w:rPr>
          <w:color w:val="000000" w:themeColor="text1"/>
        </w:rPr>
        <w:t xml:space="preserve">How is Isaiah </w:t>
      </w:r>
      <w:r>
        <w:rPr>
          <w:color w:val="000000" w:themeColor="text1"/>
        </w:rPr>
        <w:t>55:</w:t>
      </w:r>
      <w:r w:rsidR="00B635A8">
        <w:rPr>
          <w:color w:val="000000" w:themeColor="text1"/>
        </w:rPr>
        <w:t>14</w:t>
      </w:r>
      <w:r>
        <w:rPr>
          <w:color w:val="000000" w:themeColor="text1"/>
        </w:rPr>
        <w:t xml:space="preserve"> (</w:t>
      </w:r>
      <w:r w:rsidR="00B635A8" w:rsidRPr="00B635A8">
        <w:rPr>
          <w:color w:val="000000" w:themeColor="text1"/>
        </w:rPr>
        <w:t>You shall be far from oppression, for you shall not fear;</w:t>
      </w:r>
      <w:r w:rsidR="00B635A8">
        <w:rPr>
          <w:color w:val="000000" w:themeColor="text1"/>
        </w:rPr>
        <w:t xml:space="preserve"> </w:t>
      </w:r>
      <w:r w:rsidR="00B635A8" w:rsidRPr="00B635A8">
        <w:rPr>
          <w:color w:val="000000" w:themeColor="text1"/>
        </w:rPr>
        <w:t xml:space="preserve">And from terror, </w:t>
      </w:r>
      <w:r w:rsidR="00B635A8" w:rsidRPr="00B635A8">
        <w:rPr>
          <w:b/>
          <w:color w:val="000000" w:themeColor="text1"/>
        </w:rPr>
        <w:t>for it shall not come near you</w:t>
      </w:r>
      <w:r w:rsidRPr="00B635A8">
        <w:rPr>
          <w:color w:val="000000" w:themeColor="text1"/>
        </w:rPr>
        <w:t>) thematically connected to the Torah portion?</w:t>
      </w:r>
      <w:r w:rsidRPr="00DC3643">
        <w:rPr>
          <w:rStyle w:val="EndnoteReference"/>
          <w:color w:val="000000" w:themeColor="text1"/>
        </w:rPr>
        <w:endnoteReference w:id="13"/>
      </w:r>
    </w:p>
    <w:p w14:paraId="64757B13" w14:textId="77777777" w:rsidR="00EA1362" w:rsidRDefault="00EA1362" w:rsidP="00EA1362">
      <w:pPr>
        <w:spacing w:after="120"/>
        <w:jc w:val="right"/>
        <w:rPr>
          <w:color w:val="000000" w:themeColor="text1"/>
        </w:rPr>
      </w:pPr>
    </w:p>
    <w:p w14:paraId="6A8843F0" w14:textId="41DA0819" w:rsidR="00481E1E" w:rsidRDefault="00EA1362" w:rsidP="00EA1362">
      <w:pPr>
        <w:spacing w:after="120"/>
        <w:jc w:val="right"/>
        <w:rPr>
          <w:color w:val="000000" w:themeColor="text1"/>
        </w:rPr>
      </w:pPr>
      <w:r>
        <w:rPr>
          <w:color w:val="000000" w:themeColor="text1"/>
        </w:rPr>
        <w:t>Answers are given as endnotes on the last page</w:t>
      </w:r>
    </w:p>
    <w:p w14:paraId="44571D76" w14:textId="77777777" w:rsidR="00481E1E" w:rsidRDefault="00481E1E" w:rsidP="00481E1E">
      <w:pPr>
        <w:spacing w:after="120"/>
        <w:rPr>
          <w:color w:val="000000" w:themeColor="text1"/>
        </w:rPr>
      </w:pPr>
    </w:p>
    <w:p w14:paraId="5D120DF5" w14:textId="77777777" w:rsidR="00481E1E" w:rsidRDefault="00481E1E" w:rsidP="00481E1E">
      <w:pPr>
        <w:spacing w:after="120"/>
        <w:rPr>
          <w:color w:val="000000" w:themeColor="text1"/>
        </w:rPr>
      </w:pPr>
    </w:p>
    <w:p w14:paraId="18AE64E5" w14:textId="77777777" w:rsidR="00481E1E" w:rsidRDefault="00481E1E" w:rsidP="00481E1E">
      <w:pPr>
        <w:spacing w:after="120"/>
        <w:rPr>
          <w:color w:val="000000" w:themeColor="text1"/>
        </w:rPr>
      </w:pPr>
    </w:p>
    <w:p w14:paraId="75616673" w14:textId="77777777" w:rsidR="00481E1E" w:rsidRPr="00481E1E" w:rsidRDefault="00481E1E" w:rsidP="00481E1E">
      <w:pPr>
        <w:spacing w:after="120"/>
        <w:rPr>
          <w:color w:val="000000" w:themeColor="text1"/>
        </w:rPr>
      </w:pPr>
    </w:p>
    <w:sectPr w:rsidR="00481E1E" w:rsidRPr="00481E1E" w:rsidSect="00BC7821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5B6B8" w14:textId="77777777" w:rsidR="00C23B8E" w:rsidRDefault="00C23B8E" w:rsidP="00853954">
      <w:r>
        <w:separator/>
      </w:r>
    </w:p>
  </w:endnote>
  <w:endnote w:type="continuationSeparator" w:id="0">
    <w:p w14:paraId="4111898D" w14:textId="77777777" w:rsidR="00C23B8E" w:rsidRDefault="00C23B8E" w:rsidP="00853954">
      <w:r>
        <w:continuationSeparator/>
      </w:r>
    </w:p>
  </w:endnote>
  <w:endnote w:id="1">
    <w:p w14:paraId="3209226A" w14:textId="77777777" w:rsidR="00C23B8E" w:rsidRDefault="00C23B8E">
      <w:pPr>
        <w:pStyle w:val="EndnoteText"/>
      </w:pPr>
      <w:r>
        <w:rPr>
          <w:rStyle w:val="EndnoteReference"/>
        </w:rPr>
        <w:endnoteRef/>
      </w:r>
      <w:r>
        <w:t xml:space="preserve"> Genesis 11:30 - </w:t>
      </w:r>
      <w:r w:rsidRPr="00853954">
        <w:t>But Sarai was barren; she had no child.</w:t>
      </w:r>
    </w:p>
  </w:endnote>
  <w:endnote w:id="2">
    <w:p w14:paraId="2379FF32" w14:textId="5A7E0531" w:rsidR="00C23B8E" w:rsidRDefault="00C23B8E" w:rsidP="00EB59F4">
      <w:pPr>
        <w:pStyle w:val="EndnoteText"/>
      </w:pPr>
      <w:r>
        <w:rPr>
          <w:rStyle w:val="EndnoteReference"/>
        </w:rPr>
        <w:endnoteRef/>
      </w:r>
      <w:r>
        <w:t xml:space="preserve"> Genesis 7:23 - </w:t>
      </w:r>
      <w:r w:rsidRPr="00C976D3">
        <w:t xml:space="preserve">So He destroyed all living </w:t>
      </w:r>
      <w:proofErr w:type="gramStart"/>
      <w:r w:rsidRPr="00C976D3">
        <w:t>things which</w:t>
      </w:r>
      <w:proofErr w:type="gramEnd"/>
      <w:r w:rsidRPr="00C976D3">
        <w:t xml:space="preserve"> were on the face of the ground: both man and cattle, creeping thing and bird of the air. They were destroyed from the earth.</w:t>
      </w:r>
      <w:r>
        <w:t xml:space="preserve">  The connection is that the earth was desolate after its destruction by the </w:t>
      </w:r>
      <w:proofErr w:type="gramStart"/>
      <w:r>
        <w:t>flood waters</w:t>
      </w:r>
      <w:proofErr w:type="gramEnd"/>
      <w:r>
        <w:t>.</w:t>
      </w:r>
    </w:p>
  </w:endnote>
  <w:endnote w:id="3">
    <w:p w14:paraId="1A3FEDF8" w14:textId="74DAF2BB" w:rsidR="00C23B8E" w:rsidRDefault="00C23B8E" w:rsidP="00C8381E">
      <w:pPr>
        <w:pStyle w:val="EndnoteText"/>
      </w:pPr>
      <w:r>
        <w:rPr>
          <w:rStyle w:val="EndnoteReference"/>
        </w:rPr>
        <w:endnoteRef/>
      </w:r>
      <w:r>
        <w:t xml:space="preserve"> Genesis 9:27 - May God enlarge Japheth </w:t>
      </w:r>
      <w:r w:rsidR="00727FA8">
        <w:t>(</w:t>
      </w:r>
      <w:r>
        <w:t xml:space="preserve">the connection being </w:t>
      </w:r>
      <w:r w:rsidR="00727FA8">
        <w:t xml:space="preserve">that descendants will </w:t>
      </w:r>
      <w:r w:rsidR="00727FA8">
        <w:t>multiply)</w:t>
      </w:r>
      <w:bookmarkStart w:id="0" w:name="_GoBack"/>
      <w:bookmarkEnd w:id="0"/>
      <w:r>
        <w:t xml:space="preserve"> And may he dwell in the tents of Shem</w:t>
      </w:r>
    </w:p>
  </w:endnote>
  <w:endnote w:id="4">
    <w:p w14:paraId="2198FD8A" w14:textId="083DB7E1" w:rsidR="00C23B8E" w:rsidRDefault="00C23B8E" w:rsidP="007A22AF">
      <w:pPr>
        <w:pStyle w:val="EndnoteText"/>
      </w:pPr>
      <w:r>
        <w:rPr>
          <w:rStyle w:val="EndnoteReference"/>
        </w:rPr>
        <w:endnoteRef/>
      </w:r>
      <w:r>
        <w:t xml:space="preserve"> Genesis 10:32 - </w:t>
      </w:r>
      <w:r w:rsidRPr="00DC3643">
        <w:rPr>
          <w:color w:val="000000" w:themeColor="text1"/>
        </w:rPr>
        <w:t xml:space="preserve">These were the families of the sons of Noah . . . And </w:t>
      </w:r>
      <w:r w:rsidRPr="00DC3643">
        <w:rPr>
          <w:b/>
          <w:color w:val="000000" w:themeColor="text1"/>
        </w:rPr>
        <w:t xml:space="preserve">from these the nations were divided </w:t>
      </w:r>
      <w:r w:rsidRPr="00DC3643">
        <w:rPr>
          <w:color w:val="000000" w:themeColor="text1"/>
        </w:rPr>
        <w:t>on the earth after the flood</w:t>
      </w:r>
    </w:p>
  </w:endnote>
  <w:endnote w:id="5">
    <w:p w14:paraId="054364B0" w14:textId="43814992" w:rsidR="00C23B8E" w:rsidRDefault="00C23B8E" w:rsidP="00EB59F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62615">
        <w:t>Genesis 6:9 – 9:17</w:t>
      </w:r>
      <w:r>
        <w:t xml:space="preserve"> – A description of the flood</w:t>
      </w:r>
    </w:p>
  </w:endnote>
  <w:endnote w:id="6">
    <w:p w14:paraId="40A469E2" w14:textId="670ED8BF" w:rsidR="00C23B8E" w:rsidRDefault="00C23B8E" w:rsidP="007A22AF">
      <w:pPr>
        <w:pStyle w:val="EndnoteText"/>
      </w:pPr>
      <w:r>
        <w:rPr>
          <w:rStyle w:val="EndnoteReference"/>
        </w:rPr>
        <w:endnoteRef/>
      </w:r>
      <w:r>
        <w:t xml:space="preserve"> Genesis 9:16 - </w:t>
      </w:r>
      <w:r w:rsidRPr="00E62615">
        <w:t xml:space="preserve">The rainbow shall be in the cloud, and I will look on it to remember </w:t>
      </w:r>
      <w:r w:rsidRPr="00E62615">
        <w:rPr>
          <w:b/>
        </w:rPr>
        <w:t>the everlasting covenant</w:t>
      </w:r>
      <w:r w:rsidRPr="00E62615">
        <w:t xml:space="preserve"> between God and every living creature of all flesh that is on the earth</w:t>
      </w:r>
    </w:p>
  </w:endnote>
  <w:endnote w:id="7">
    <w:p w14:paraId="6E48B3D8" w14:textId="0B9F22B6" w:rsidR="00C23B8E" w:rsidRDefault="00C23B8E" w:rsidP="00E62615">
      <w:pPr>
        <w:pStyle w:val="EndnoteText"/>
      </w:pPr>
      <w:r>
        <w:rPr>
          <w:rStyle w:val="EndnoteReference"/>
        </w:rPr>
        <w:endnoteRef/>
      </w:r>
      <w:r>
        <w:t xml:space="preserve"> Genesis 7:24 - </w:t>
      </w:r>
      <w:r w:rsidRPr="003D377F">
        <w:t>And the waters prevailed on the e</w:t>
      </w:r>
      <w:r>
        <w:t xml:space="preserve">arth one hundred and fifty days – the connection being the </w:t>
      </w:r>
      <w:proofErr w:type="gramStart"/>
      <w:r>
        <w:t>flood waters</w:t>
      </w:r>
      <w:proofErr w:type="gramEnd"/>
      <w:r>
        <w:t xml:space="preserve"> as the tempest.</w:t>
      </w:r>
    </w:p>
  </w:endnote>
  <w:endnote w:id="8">
    <w:p w14:paraId="01F7811B" w14:textId="73AAC09F" w:rsidR="00C23B8E" w:rsidRDefault="00C23B8E" w:rsidP="00E62615">
      <w:pPr>
        <w:pStyle w:val="EndnoteText"/>
      </w:pPr>
      <w:r>
        <w:rPr>
          <w:rStyle w:val="EndnoteReference"/>
        </w:rPr>
        <w:endnoteRef/>
      </w:r>
      <w:r>
        <w:t xml:space="preserve"> Genesis 6:17 - </w:t>
      </w:r>
      <w:r w:rsidRPr="00FD43A5">
        <w:t xml:space="preserve">And behold, </w:t>
      </w:r>
      <w:r w:rsidRPr="00FD43A5">
        <w:rPr>
          <w:b/>
        </w:rPr>
        <w:t>I Myself am bringing floodwaters on the earth, to destroy</w:t>
      </w:r>
      <w:r w:rsidRPr="00FD43A5">
        <w:t xml:space="preserve"> from under heaven all flesh in which is the breath of life; everything that is on the earth shall die.</w:t>
      </w:r>
    </w:p>
  </w:endnote>
  <w:endnote w:id="9">
    <w:p w14:paraId="6EAB8A20" w14:textId="257B0FAC" w:rsidR="00C23B8E" w:rsidRDefault="00C23B8E" w:rsidP="00E62615">
      <w:pPr>
        <w:pStyle w:val="EndnoteText"/>
      </w:pPr>
      <w:r>
        <w:rPr>
          <w:rStyle w:val="EndnoteReference"/>
        </w:rPr>
        <w:endnoteRef/>
      </w:r>
      <w:r>
        <w:t xml:space="preserve"> Genesis 6:9 - </w:t>
      </w:r>
      <w:r w:rsidRPr="0010088A">
        <w:t xml:space="preserve">Noah was a </w:t>
      </w:r>
      <w:r w:rsidRPr="0010088A">
        <w:rPr>
          <w:b/>
        </w:rPr>
        <w:t>just</w:t>
      </w:r>
      <w:r w:rsidRPr="0010088A">
        <w:t xml:space="preserve"> man, perfect in his generations. Noah walked with God</w:t>
      </w:r>
      <w:r>
        <w:t xml:space="preserve"> – where the word just is the Hebrew word </w:t>
      </w:r>
      <w:proofErr w:type="spellStart"/>
      <w:r>
        <w:t>Tsadiq</w:t>
      </w:r>
      <w:proofErr w:type="spellEnd"/>
      <w:r>
        <w:t>.</w:t>
      </w:r>
    </w:p>
  </w:endnote>
  <w:endnote w:id="10">
    <w:p w14:paraId="13231D87" w14:textId="2526B3DC" w:rsidR="00C23B8E" w:rsidRDefault="00C23B8E" w:rsidP="005A5A43">
      <w:pPr>
        <w:pStyle w:val="EndnoteText"/>
      </w:pPr>
      <w:r>
        <w:rPr>
          <w:rStyle w:val="EndnoteReference"/>
        </w:rPr>
        <w:endnoteRef/>
      </w:r>
      <w:r>
        <w:t xml:space="preserve"> Genesis 9:21 - </w:t>
      </w:r>
      <w:r w:rsidR="00984D7D" w:rsidRPr="005A5A43">
        <w:t xml:space="preserve">Then he drank of the </w:t>
      </w:r>
      <w:r w:rsidR="00984D7D" w:rsidRPr="009011DD">
        <w:rPr>
          <w:b/>
        </w:rPr>
        <w:t>wine</w:t>
      </w:r>
      <w:r w:rsidR="00984D7D" w:rsidRPr="005A5A43">
        <w:t xml:space="preserve"> and was drunk</w:t>
      </w:r>
    </w:p>
  </w:endnote>
  <w:endnote w:id="11">
    <w:p w14:paraId="722BFB0B" w14:textId="354336CB" w:rsidR="00C23B8E" w:rsidRDefault="00C23B8E" w:rsidP="00771F2F">
      <w:pPr>
        <w:pStyle w:val="EndnoteText"/>
      </w:pPr>
      <w:r>
        <w:rPr>
          <w:rStyle w:val="EndnoteReference"/>
        </w:rPr>
        <w:endnoteRef/>
      </w:r>
      <w:r>
        <w:t xml:space="preserve"> Genesis </w:t>
      </w:r>
      <w:r w:rsidR="00984D7D">
        <w:t>11:1-7</w:t>
      </w:r>
      <w:r>
        <w:t xml:space="preserve"> </w:t>
      </w:r>
      <w:r w:rsidR="00984D7D">
        <w:t>–</w:t>
      </w:r>
      <w:r>
        <w:t xml:space="preserve"> </w:t>
      </w:r>
      <w:r w:rsidR="00984D7D">
        <w:t xml:space="preserve">Three times sentences begin with “Come” – </w:t>
      </w:r>
      <w:r w:rsidR="00984D7D" w:rsidRPr="00984D7D">
        <w:t>Then they said to one another, “Come, let us make bricks and bake them thoroughly.”</w:t>
      </w:r>
    </w:p>
  </w:endnote>
  <w:endnote w:id="12">
    <w:p w14:paraId="7ABFDB47" w14:textId="0CF7E0B9" w:rsidR="00C23B8E" w:rsidRDefault="00C23B8E" w:rsidP="00E62615">
      <w:pPr>
        <w:pStyle w:val="EndnoteText"/>
      </w:pPr>
      <w:r>
        <w:rPr>
          <w:rStyle w:val="EndnoteReference"/>
        </w:rPr>
        <w:endnoteRef/>
      </w:r>
      <w:r>
        <w:t xml:space="preserve"> Genesis </w:t>
      </w:r>
      <w:r w:rsidR="00984D7D">
        <w:t>10:8</w:t>
      </w:r>
      <w:r>
        <w:t xml:space="preserve"> - </w:t>
      </w:r>
      <w:r w:rsidR="00984D7D" w:rsidRPr="00771F2F">
        <w:t xml:space="preserve">Cush begot Nimrod; he began to be </w:t>
      </w:r>
      <w:r w:rsidR="00984D7D" w:rsidRPr="00771F2F">
        <w:rPr>
          <w:b/>
        </w:rPr>
        <w:t>a mighty one on the earth</w:t>
      </w:r>
      <w:r w:rsidR="00984D7D" w:rsidRPr="00771F2F">
        <w:t>.  He was a mighty hunter before the LORD</w:t>
      </w:r>
    </w:p>
  </w:endnote>
  <w:endnote w:id="13">
    <w:p w14:paraId="3111B56D" w14:textId="366A2BE6" w:rsidR="00C23B8E" w:rsidRDefault="00C23B8E" w:rsidP="0041294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84D7D">
        <w:t xml:space="preserve">Genesis 7:23 - </w:t>
      </w:r>
      <w:r w:rsidR="00984D7D" w:rsidRPr="00D86D35">
        <w:t xml:space="preserve">They were destroyed from the earth. </w:t>
      </w:r>
      <w:proofErr w:type="gramStart"/>
      <w:r w:rsidR="00984D7D" w:rsidRPr="00D86D35">
        <w:rPr>
          <w:b/>
        </w:rPr>
        <w:t>Only Noah and those who were with him in the ark remained alive.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C23B8E" w14:paraId="7CCE53BA" w14:textId="77777777" w:rsidTr="00C23B8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91D3A74" w14:textId="77777777" w:rsidR="00C23B8E" w:rsidRDefault="00C23B8E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1582D3D" w14:textId="77777777" w:rsidR="00C23B8E" w:rsidRDefault="00727FA8" w:rsidP="00C23B8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B879CA3829DDB47AA78A00E00122FEF"/>
              </w:placeholder>
              <w:temporary/>
              <w:showingPlcHdr/>
            </w:sdtPr>
            <w:sdtEndPr/>
            <w:sdtContent>
              <w:r w:rsidR="00C23B8E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CC405E" w14:textId="77777777" w:rsidR="00C23B8E" w:rsidRDefault="00C23B8E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23B8E" w14:paraId="780FFC26" w14:textId="77777777" w:rsidTr="00C23B8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6EF0E6" w14:textId="77777777" w:rsidR="00C23B8E" w:rsidRDefault="00C23B8E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51C5171" w14:textId="77777777" w:rsidR="00C23B8E" w:rsidRDefault="00C23B8E" w:rsidP="00C23B8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6D2421" w14:textId="77777777" w:rsidR="00C23B8E" w:rsidRDefault="00C23B8E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956B18F" w14:textId="77777777" w:rsidR="00C23B8E" w:rsidRDefault="00C23B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78"/>
      <w:gridCol w:w="4900"/>
      <w:gridCol w:w="1978"/>
    </w:tblGrid>
    <w:tr w:rsidR="00C23B8E" w14:paraId="785BE17B" w14:textId="77777777" w:rsidTr="00C23B8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4DC11E" w14:textId="77777777" w:rsidR="00C23B8E" w:rsidRDefault="00C23B8E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1F63AEB" w14:textId="6080E7C8" w:rsidR="00C23B8E" w:rsidRDefault="00C23B8E" w:rsidP="00C23B8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Copyright </w:t>
          </w:r>
          <w:r>
            <w:rPr>
              <w:rFonts w:ascii="Cambria" w:hAnsi="Cambria"/>
              <w:color w:val="365F91" w:themeColor="accent1" w:themeShade="BF"/>
            </w:rPr>
            <w:sym w:font="Symbol" w:char="F0D3"/>
          </w:r>
          <w:r>
            <w:rPr>
              <w:rFonts w:ascii="Cambria" w:hAnsi="Cambria"/>
              <w:color w:val="365F91" w:themeColor="accent1" w:themeShade="BF"/>
            </w:rPr>
            <w:t xml:space="preserve"> 2014 Restoration of Torah Ministries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3F2ADB" w14:textId="77777777" w:rsidR="00C23B8E" w:rsidRDefault="00C23B8E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23B8E" w14:paraId="2008AF11" w14:textId="77777777" w:rsidTr="00C23B8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7E62849" w14:textId="77777777" w:rsidR="00C23B8E" w:rsidRDefault="00C23B8E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A47B6B" w14:textId="77777777" w:rsidR="00C23B8E" w:rsidRDefault="00C23B8E" w:rsidP="00C23B8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1F9E4C" w14:textId="77777777" w:rsidR="00C23B8E" w:rsidRDefault="00C23B8E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32E8C50" w14:textId="77777777" w:rsidR="00C23B8E" w:rsidRDefault="00C23B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36D1A" w14:textId="77777777" w:rsidR="00C23B8E" w:rsidRDefault="00C23B8E" w:rsidP="00853954">
      <w:r>
        <w:separator/>
      </w:r>
    </w:p>
  </w:footnote>
  <w:footnote w:type="continuationSeparator" w:id="0">
    <w:p w14:paraId="569B1127" w14:textId="77777777" w:rsidR="00C23B8E" w:rsidRDefault="00C23B8E" w:rsidP="00853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38DE" w14:textId="6186BAD0" w:rsidR="00C23B8E" w:rsidRPr="00C23B8E" w:rsidRDefault="00C23B8E" w:rsidP="00C23B8E">
    <w:pPr>
      <w:pStyle w:val="Header"/>
      <w:jc w:val="center"/>
      <w:rPr>
        <w:b/>
        <w:i/>
        <w:sz w:val="32"/>
        <w:szCs w:val="32"/>
      </w:rPr>
    </w:pPr>
    <w:r w:rsidRPr="00C23B8E">
      <w:rPr>
        <w:b/>
        <w:i/>
        <w:sz w:val="32"/>
        <w:szCs w:val="32"/>
      </w:rPr>
      <w:t>Restoration of Torah Ministries’ Haftarah Connections</w:t>
    </w:r>
  </w:p>
  <w:p w14:paraId="3D4C00B2" w14:textId="65C463DF" w:rsidR="00C23B8E" w:rsidRPr="00C23B8E" w:rsidRDefault="00C23B8E" w:rsidP="00C23B8E">
    <w:pPr>
      <w:pStyle w:val="Header"/>
      <w:jc w:val="center"/>
      <w:rPr>
        <w:bCs/>
        <w:iCs/>
      </w:rPr>
    </w:pPr>
    <w:r w:rsidRPr="00C23B8E">
      <w:t xml:space="preserve">Finding Thematic Connections Between Parashat </w:t>
    </w:r>
    <w:proofErr w:type="spellStart"/>
    <w:r w:rsidRPr="00C23B8E">
      <w:t>Noach</w:t>
    </w:r>
    <w:proofErr w:type="spellEnd"/>
    <w:r w:rsidRPr="00C23B8E">
      <w:t xml:space="preserve"> </w:t>
    </w:r>
    <w:r>
      <w:t>(</w:t>
    </w:r>
    <w:r w:rsidRPr="00C23B8E">
      <w:rPr>
        <w:bCs/>
        <w:iCs/>
      </w:rPr>
      <w:t>Genesis 6:9 – 11:32</w:t>
    </w:r>
    <w:r>
      <w:rPr>
        <w:bCs/>
        <w:iCs/>
      </w:rPr>
      <w:t>)</w:t>
    </w:r>
    <w:r w:rsidRPr="00C23B8E">
      <w:rPr>
        <w:bCs/>
        <w:iCs/>
      </w:rPr>
      <w:t xml:space="preserve"> and </w:t>
    </w:r>
    <w:r>
      <w:rPr>
        <w:bCs/>
        <w:iCs/>
      </w:rPr>
      <w:t>the Haftarah Reading</w:t>
    </w:r>
    <w:r w:rsidRPr="00C23B8E">
      <w:rPr>
        <w:bCs/>
        <w:iCs/>
      </w:rPr>
      <w:t xml:space="preserve"> </w:t>
    </w:r>
    <w:r>
      <w:rPr>
        <w:bCs/>
        <w:iCs/>
      </w:rPr>
      <w:t>(</w:t>
    </w:r>
    <w:r w:rsidRPr="00C23B8E">
      <w:rPr>
        <w:bCs/>
        <w:iCs/>
      </w:rPr>
      <w:t>Isaiah 54:1 – 55:5</w:t>
    </w:r>
    <w:r>
      <w:rPr>
        <w:bCs/>
        <w:iCs/>
      </w:rPr>
      <w:t>)</w:t>
    </w:r>
  </w:p>
  <w:p w14:paraId="4E38C44D" w14:textId="3C069D3C" w:rsidR="00C23B8E" w:rsidRPr="00C23B8E" w:rsidRDefault="00C23B8E" w:rsidP="00C23B8E">
    <w:pPr>
      <w:pStyle w:val="Head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2EB"/>
    <w:multiLevelType w:val="hybridMultilevel"/>
    <w:tmpl w:val="4F2A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6053F"/>
    <w:multiLevelType w:val="hybridMultilevel"/>
    <w:tmpl w:val="E46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4"/>
    <w:rsid w:val="000221E6"/>
    <w:rsid w:val="0010088A"/>
    <w:rsid w:val="003D377F"/>
    <w:rsid w:val="0041294E"/>
    <w:rsid w:val="00481E1E"/>
    <w:rsid w:val="005A5A43"/>
    <w:rsid w:val="00727FA8"/>
    <w:rsid w:val="00771F2F"/>
    <w:rsid w:val="00773B6D"/>
    <w:rsid w:val="007A22AF"/>
    <w:rsid w:val="00853954"/>
    <w:rsid w:val="009011DD"/>
    <w:rsid w:val="00984D7D"/>
    <w:rsid w:val="00B635A8"/>
    <w:rsid w:val="00B66984"/>
    <w:rsid w:val="00BC7821"/>
    <w:rsid w:val="00C23B8E"/>
    <w:rsid w:val="00C8381E"/>
    <w:rsid w:val="00C92417"/>
    <w:rsid w:val="00C976D3"/>
    <w:rsid w:val="00D71185"/>
    <w:rsid w:val="00D86D35"/>
    <w:rsid w:val="00DC3643"/>
    <w:rsid w:val="00DF2305"/>
    <w:rsid w:val="00E62615"/>
    <w:rsid w:val="00EA1362"/>
    <w:rsid w:val="00EB59F4"/>
    <w:rsid w:val="00EC1966"/>
    <w:rsid w:val="00FD43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8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9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4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53954"/>
  </w:style>
  <w:style w:type="character" w:customStyle="1" w:styleId="EndnoteTextChar">
    <w:name w:val="Endnote Text Char"/>
    <w:basedOn w:val="DefaultParagraphFont"/>
    <w:link w:val="EndnoteText"/>
    <w:uiPriority w:val="99"/>
    <w:rsid w:val="00853954"/>
  </w:style>
  <w:style w:type="character" w:styleId="EndnoteReference">
    <w:name w:val="endnote reference"/>
    <w:basedOn w:val="DefaultParagraphFont"/>
    <w:uiPriority w:val="99"/>
    <w:unhideWhenUsed/>
    <w:rsid w:val="008539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9F4"/>
  </w:style>
  <w:style w:type="paragraph" w:styleId="Footer">
    <w:name w:val="footer"/>
    <w:basedOn w:val="Normal"/>
    <w:link w:val="Foot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F4"/>
  </w:style>
  <w:style w:type="paragraph" w:styleId="NormalWeb">
    <w:name w:val="Normal (Web)"/>
    <w:basedOn w:val="Normal"/>
    <w:uiPriority w:val="99"/>
    <w:semiHidden/>
    <w:unhideWhenUsed/>
    <w:rsid w:val="00C23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link w:val="NoSpacingChar"/>
    <w:qFormat/>
    <w:rsid w:val="00C23B8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23B8E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9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4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53954"/>
  </w:style>
  <w:style w:type="character" w:customStyle="1" w:styleId="EndnoteTextChar">
    <w:name w:val="Endnote Text Char"/>
    <w:basedOn w:val="DefaultParagraphFont"/>
    <w:link w:val="EndnoteText"/>
    <w:uiPriority w:val="99"/>
    <w:rsid w:val="00853954"/>
  </w:style>
  <w:style w:type="character" w:styleId="EndnoteReference">
    <w:name w:val="endnote reference"/>
    <w:basedOn w:val="DefaultParagraphFont"/>
    <w:uiPriority w:val="99"/>
    <w:unhideWhenUsed/>
    <w:rsid w:val="008539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9F4"/>
  </w:style>
  <w:style w:type="paragraph" w:styleId="Footer">
    <w:name w:val="footer"/>
    <w:basedOn w:val="Normal"/>
    <w:link w:val="Foot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F4"/>
  </w:style>
  <w:style w:type="paragraph" w:styleId="NormalWeb">
    <w:name w:val="Normal (Web)"/>
    <w:basedOn w:val="Normal"/>
    <w:uiPriority w:val="99"/>
    <w:semiHidden/>
    <w:unhideWhenUsed/>
    <w:rsid w:val="00C23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link w:val="NoSpacingChar"/>
    <w:qFormat/>
    <w:rsid w:val="00C23B8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23B8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93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87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497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509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94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972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59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382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836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796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250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311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879CA3829DDB47AA78A00E0012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C01A-11AE-6448-8925-A3BA77C6D769}"/>
      </w:docPartPr>
      <w:docPartBody>
        <w:p w14:paraId="5FC4A763" w14:textId="4C754ABB" w:rsidR="00F527E4" w:rsidRDefault="00F527E4" w:rsidP="00F527E4">
          <w:pPr>
            <w:pStyle w:val="FB879CA3829DDB47AA78A00E00122F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E4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2C8CC53C4A548B8410DC629204039">
    <w:name w:val="DD62C8CC53C4A548B8410DC629204039"/>
    <w:rsid w:val="00F527E4"/>
  </w:style>
  <w:style w:type="paragraph" w:customStyle="1" w:styleId="9A45506ACB2AAA419A1E5C83D1F37761">
    <w:name w:val="9A45506ACB2AAA419A1E5C83D1F37761"/>
    <w:rsid w:val="00F527E4"/>
  </w:style>
  <w:style w:type="paragraph" w:customStyle="1" w:styleId="B6A936F8C2F9D0459A9F4202B611B3C5">
    <w:name w:val="B6A936F8C2F9D0459A9F4202B611B3C5"/>
    <w:rsid w:val="00F527E4"/>
  </w:style>
  <w:style w:type="paragraph" w:customStyle="1" w:styleId="52DB0AE29560CF49BB0EF4223D39163E">
    <w:name w:val="52DB0AE29560CF49BB0EF4223D39163E"/>
    <w:rsid w:val="00F527E4"/>
  </w:style>
  <w:style w:type="paragraph" w:customStyle="1" w:styleId="BE1E1CA58EBAC04699E3544F214C13F1">
    <w:name w:val="BE1E1CA58EBAC04699E3544F214C13F1"/>
    <w:rsid w:val="00F527E4"/>
  </w:style>
  <w:style w:type="paragraph" w:customStyle="1" w:styleId="55A1292F28E7F441AD387775AC8158A5">
    <w:name w:val="55A1292F28E7F441AD387775AC8158A5"/>
    <w:rsid w:val="00F527E4"/>
  </w:style>
  <w:style w:type="paragraph" w:customStyle="1" w:styleId="FB879CA3829DDB47AA78A00E00122FEF">
    <w:name w:val="FB879CA3829DDB47AA78A00E00122FEF"/>
    <w:rsid w:val="00F527E4"/>
  </w:style>
  <w:style w:type="paragraph" w:customStyle="1" w:styleId="A3BA72A66C35024AB5F7FCEFD0D612A6">
    <w:name w:val="A3BA72A66C35024AB5F7FCEFD0D612A6"/>
    <w:rsid w:val="00F527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2C8CC53C4A548B8410DC629204039">
    <w:name w:val="DD62C8CC53C4A548B8410DC629204039"/>
    <w:rsid w:val="00F527E4"/>
  </w:style>
  <w:style w:type="paragraph" w:customStyle="1" w:styleId="9A45506ACB2AAA419A1E5C83D1F37761">
    <w:name w:val="9A45506ACB2AAA419A1E5C83D1F37761"/>
    <w:rsid w:val="00F527E4"/>
  </w:style>
  <w:style w:type="paragraph" w:customStyle="1" w:styleId="B6A936F8C2F9D0459A9F4202B611B3C5">
    <w:name w:val="B6A936F8C2F9D0459A9F4202B611B3C5"/>
    <w:rsid w:val="00F527E4"/>
  </w:style>
  <w:style w:type="paragraph" w:customStyle="1" w:styleId="52DB0AE29560CF49BB0EF4223D39163E">
    <w:name w:val="52DB0AE29560CF49BB0EF4223D39163E"/>
    <w:rsid w:val="00F527E4"/>
  </w:style>
  <w:style w:type="paragraph" w:customStyle="1" w:styleId="BE1E1CA58EBAC04699E3544F214C13F1">
    <w:name w:val="BE1E1CA58EBAC04699E3544F214C13F1"/>
    <w:rsid w:val="00F527E4"/>
  </w:style>
  <w:style w:type="paragraph" w:customStyle="1" w:styleId="55A1292F28E7F441AD387775AC8158A5">
    <w:name w:val="55A1292F28E7F441AD387775AC8158A5"/>
    <w:rsid w:val="00F527E4"/>
  </w:style>
  <w:style w:type="paragraph" w:customStyle="1" w:styleId="FB879CA3829DDB47AA78A00E00122FEF">
    <w:name w:val="FB879CA3829DDB47AA78A00E00122FEF"/>
    <w:rsid w:val="00F527E4"/>
  </w:style>
  <w:style w:type="paragraph" w:customStyle="1" w:styleId="A3BA72A66C35024AB5F7FCEFD0D612A6">
    <w:name w:val="A3BA72A66C35024AB5F7FCEFD0D612A6"/>
    <w:rsid w:val="00F52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254</Words>
  <Characters>1453</Characters>
  <Application>Microsoft Macintosh Word</Application>
  <DocSecurity>0</DocSecurity>
  <Lines>12</Lines>
  <Paragraphs>3</Paragraphs>
  <ScaleCrop>false</ScaleCrop>
  <Company>restoration of torah ministries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robinson</dc:creator>
  <cp:keywords/>
  <dc:description/>
  <cp:lastModifiedBy>tony robinson</cp:lastModifiedBy>
  <cp:revision>4</cp:revision>
  <cp:lastPrinted>2014-10-24T21:38:00Z</cp:lastPrinted>
  <dcterms:created xsi:type="dcterms:W3CDTF">2014-10-24T21:49:00Z</dcterms:created>
  <dcterms:modified xsi:type="dcterms:W3CDTF">2015-04-19T22:01:00Z</dcterms:modified>
</cp:coreProperties>
</file>