
<file path=[Content_Types].xml><?xml version="1.0" encoding="utf-8"?>
<Types xmlns="http://schemas.openxmlformats.org/package/2006/content-types">
  <Default Extension="png" ContentType="image/png"/>
  <Default Extension="wmf" ContentType="image/x-wmf"/>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6A1BC5" w:rsidRPr="00442A3C" w:rsidRDefault="00700099" w:rsidP="000764DF">
      <w:pPr>
        <w:spacing w:before="120" w:after="240" w:line="360" w:lineRule="auto"/>
        <w:jc w:val="both"/>
        <w:rPr>
          <w:rFonts w:ascii="FS Albert" w:hAnsi="FS Albert"/>
          <w:sz w:val="24"/>
          <w:szCs w:val="24"/>
        </w:rPr>
      </w:pPr>
      <w:r>
        <w:rPr>
          <w:rFonts w:ascii="FS Albert" w:hAnsi="FS Albert"/>
          <w:noProof/>
          <w:color w:val="194062"/>
          <w:sz w:val="24"/>
          <w:szCs w:val="24"/>
          <w:lang w:eastAsia="en-GB"/>
        </w:rPr>
        <mc:AlternateContent>
          <mc:Choice Requires="wps">
            <w:drawing>
              <wp:anchor distT="0" distB="0" distL="114300" distR="114300" simplePos="0" relativeHeight="251665408" behindDoc="0" locked="0" layoutInCell="1" allowOverlap="1" wp14:anchorId="409099E5" wp14:editId="066CC7E7">
                <wp:simplePos x="0" y="0"/>
                <wp:positionH relativeFrom="column">
                  <wp:posOffset>3552825</wp:posOffset>
                </wp:positionH>
                <wp:positionV relativeFrom="paragraph">
                  <wp:posOffset>208280</wp:posOffset>
                </wp:positionV>
                <wp:extent cx="2041525" cy="981075"/>
                <wp:effectExtent l="0" t="0" r="0" b="9525"/>
                <wp:wrapNone/>
                <wp:docPr id="7" name="Text Box 7"/>
                <wp:cNvGraphicFramePr/>
                <a:graphic xmlns:a="http://schemas.openxmlformats.org/drawingml/2006/main">
                  <a:graphicData uri="http://schemas.microsoft.com/office/word/2010/wordprocessingShape">
                    <wps:wsp>
                      <wps:cNvSpPr txBox="1"/>
                      <wps:spPr>
                        <a:xfrm>
                          <a:off x="0" y="0"/>
                          <a:ext cx="2041525" cy="981075"/>
                        </a:xfrm>
                        <a:prstGeom prst="rect">
                          <a:avLst/>
                        </a:prstGeom>
                        <a:solidFill>
                          <a:sysClr val="window" lastClr="FFFFFF"/>
                        </a:solidFill>
                        <a:ln w="6350">
                          <a:noFill/>
                        </a:ln>
                        <a:effectLst/>
                      </wps:spPr>
                      <wps:txbx>
                        <w:txbxContent>
                          <w:p w:rsidR="00700099" w:rsidRPr="00130123" w:rsidRDefault="005E24D0" w:rsidP="00700099">
                            <w:pPr>
                              <w:rPr>
                                <w:rFonts w:ascii="FS Albert Light" w:hAnsi="FS Albert Light"/>
                                <w:color w:val="194062"/>
                              </w:rPr>
                            </w:pPr>
                            <w:r>
                              <w:rPr>
                                <w:rFonts w:ascii="FS Albert Light" w:hAnsi="FS Albert Light"/>
                                <w:color w:val="194062"/>
                              </w:rPr>
                              <w:t>Submission Guidance</w:t>
                            </w:r>
                            <w:r w:rsidR="00700099" w:rsidRPr="00130123">
                              <w:rPr>
                                <w:rFonts w:ascii="FS Albert Light" w:hAnsi="FS Albert Light"/>
                                <w:color w:val="194062"/>
                              </w:rPr>
                              <w:t>:</w:t>
                            </w:r>
                          </w:p>
                          <w:p w:rsidR="00700099" w:rsidRPr="00130123" w:rsidRDefault="00700099" w:rsidP="00700099">
                            <w:pPr>
                              <w:rPr>
                                <w:rFonts w:ascii="FS Albert" w:hAnsi="FS Albert"/>
                                <w:color w:val="194062"/>
                                <w:sz w:val="44"/>
                                <w:szCs w:val="44"/>
                              </w:rPr>
                            </w:pPr>
                            <w:r>
                              <w:rPr>
                                <w:rFonts w:ascii="FS Albert" w:hAnsi="FS Albert"/>
                                <w:color w:val="194062"/>
                                <w:sz w:val="44"/>
                                <w:szCs w:val="44"/>
                              </w:rPr>
                              <w:t>Fresh Evidence</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id="_x0000_t202" coordsize="21600,21600" o:spt="202" path="m,l,21600r21600,l21600,xe">
                <v:stroke joinstyle="miter"/>
                <v:path gradientshapeok="t" o:connecttype="rect"/>
              </v:shapetype>
              <v:shape id="Text Box 7" o:spid="_x0000_s1026" type="#_x0000_t202" style="position:absolute;left:0;text-align:left;margin-left:279.75pt;margin-top:16.4pt;width:160.75pt;height:77.25pt;z-index:25166540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" fillcolor="window" stroked="f" strokeweight=".5pt">
                <v:textbox>
                  <w:txbxContent>
                    <w:p w:rsidR="00700099" w:rsidRPr="00130123" w:rsidRDefault="005E24D0" w:rsidP="00700099">
                      <w:pPr>
                        <w:rPr>
                          <w:rFonts w:ascii="FS Albert Light" w:hAnsi="FS Albert Light"/>
                          <w:color w:val="194062"/>
                        </w:rPr>
                      </w:pPr>
                      <w:r>
                        <w:rPr>
                          <w:rFonts w:ascii="FS Albert Light" w:hAnsi="FS Albert Light"/>
                          <w:color w:val="194062"/>
                        </w:rPr>
                        <w:t>Submission Guidance</w:t>
                      </w:r>
                      <w:r w:rsidR="00700099" w:rsidRPr="00130123">
                        <w:rPr>
                          <w:rFonts w:ascii="FS Albert Light" w:hAnsi="FS Albert Light"/>
                          <w:color w:val="194062"/>
                        </w:rPr>
                        <w:t>:</w:t>
                      </w:r>
                    </w:p>
                    <w:p w:rsidR="00700099" w:rsidRPr="00130123" w:rsidRDefault="00700099" w:rsidP="00700099">
                      <w:pPr>
                        <w:rPr>
                          <w:rFonts w:ascii="FS Albert" w:hAnsi="FS Albert"/>
                          <w:color w:val="194062"/>
                          <w:sz w:val="44"/>
                          <w:szCs w:val="44"/>
                        </w:rPr>
                      </w:pPr>
                      <w:r>
                        <w:rPr>
                          <w:rFonts w:ascii="FS Albert" w:hAnsi="FS Albert"/>
                          <w:color w:val="194062"/>
                          <w:sz w:val="44"/>
                          <w:szCs w:val="44"/>
                        </w:rPr>
                        <w:t>Fresh Evidence</w:t>
                      </w:r>
                    </w:p>
                  </w:txbxContent>
                </v:textbox>
              </v:shape>
            </w:pict>
          </mc:Fallback>
        </mc:AlternateContent>
      </w:r>
      <w:r w:rsidR="006A1BC5" w:rsidRPr="00442A3C">
        <w:rPr>
          <w:rFonts w:ascii="FS Albert" w:hAnsi="FS Albert"/>
          <w:noProof/>
          <w:sz w:val="24"/>
          <w:szCs w:val="24"/>
          <w:lang w:eastAsia="en-GB"/>
        </w:rPr>
        <w:drawing>
          <wp:inline distT="0" distB="0" distL="0" distR="0" wp14:anchorId="163D9700" wp14:editId="53D6A9AC">
            <wp:extent cx="3076575" cy="1257300"/>
            <wp:effectExtent l="0" t="0" r="9525" b="0"/>
            <wp:docPr id="1"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3076575" cy="1257300"/>
                    </a:xfrm>
                    <a:prstGeom prst="rect">
                      <a:avLst/>
                    </a:prstGeom>
                    <a:noFill/>
                    <a:ln>
                      <a:noFill/>
                    </a:ln>
                  </pic:spPr>
                </pic:pic>
              </a:graphicData>
            </a:graphic>
          </wp:inline>
        </w:drawing>
      </w:r>
    </w:p>
    <w:p w:rsidR="00FA5B6E" w:rsidRPr="00897785" w:rsidRDefault="00FA5B6E" w:rsidP="00FA5B6E">
      <w:pPr>
        <w:spacing w:before="100" w:beforeAutospacing="1" w:after="100" w:afterAutospacing="1" w:line="360" w:lineRule="auto"/>
        <w:jc w:val="both"/>
        <w:rPr>
          <w:rFonts w:ascii="FS Albert" w:hAnsi="FS Albert"/>
          <w:color w:val="D60D52"/>
          <w:sz w:val="28"/>
          <w:szCs w:val="28"/>
        </w:rPr>
      </w:pPr>
      <w:r w:rsidRPr="0089351B">
        <w:rPr>
          <w:rFonts w:ascii="FS Albert" w:hAnsi="FS Albert"/>
          <w:color w:val="D60D52"/>
          <w:sz w:val="28"/>
          <w:szCs w:val="28"/>
        </w:rPr>
        <w:t>This paper</w:t>
      </w:r>
      <w:r>
        <w:rPr>
          <w:rFonts w:ascii="FS Albert" w:hAnsi="FS Albert"/>
          <w:color w:val="D60D52"/>
          <w:sz w:val="28"/>
          <w:szCs w:val="28"/>
        </w:rPr>
        <w:t xml:space="preserve"> is intended to provide guidance for those thinking of applying to the Commission on the basis that new evidence has come to light. It</w:t>
      </w:r>
      <w:r w:rsidRPr="0089351B">
        <w:rPr>
          <w:rFonts w:ascii="FS Albert" w:hAnsi="FS Albert"/>
          <w:color w:val="D60D52"/>
          <w:sz w:val="28"/>
          <w:szCs w:val="28"/>
        </w:rPr>
        <w:t xml:space="preserve"> sets out, in </w:t>
      </w:r>
      <w:r>
        <w:rPr>
          <w:rFonts w:ascii="FS Albert" w:hAnsi="FS Albert"/>
          <w:color w:val="D60D52"/>
          <w:sz w:val="28"/>
          <w:szCs w:val="28"/>
        </w:rPr>
        <w:t>brief outline, the Commission’s understanding of the key principles of law. It then explains the information that the Commission is likely to require in different categories of case. For a fuller explanation of the Commission’s understanding of this area of law, see the Commission’s more detailed position paper.</w:t>
      </w:r>
    </w:p>
    <w:p w:rsidR="00FA5B6E" w:rsidRDefault="00463D3B" w:rsidP="005617B1">
      <w:pPr>
        <w:spacing w:before="100" w:beforeAutospacing="1" w:after="100" w:afterAutospacing="1" w:line="360" w:lineRule="auto"/>
        <w:jc w:val="both"/>
        <w:rPr>
          <w:rFonts w:ascii="FS Albert" w:hAnsi="FS Albert"/>
          <w:color w:val="194062"/>
          <w:sz w:val="24"/>
          <w:szCs w:val="24"/>
        </w:rPr>
      </w:pPr>
      <w:r w:rsidRPr="00130123">
        <w:rPr>
          <w:rFonts w:ascii="FS Albert" w:hAnsi="FS Albert"/>
          <w:b/>
          <w:noProof/>
          <w:color w:val="194062"/>
          <w:sz w:val="32"/>
          <w:szCs w:val="32"/>
          <w:lang w:eastAsia="en-GB"/>
        </w:rPr>
        <mc:AlternateContent>
          <mc:Choice Requires="wps">
            <w:drawing>
              <wp:anchor distT="0" distB="0" distL="114300" distR="114300" simplePos="0" relativeHeight="251661312" behindDoc="0" locked="0" layoutInCell="1" allowOverlap="1" wp14:anchorId="598B6CFB" wp14:editId="54E0C60E">
                <wp:simplePos x="0" y="0"/>
                <wp:positionH relativeFrom="column">
                  <wp:posOffset>0</wp:posOffset>
                </wp:positionH>
                <wp:positionV relativeFrom="paragraph">
                  <wp:posOffset>156210</wp:posOffset>
                </wp:positionV>
                <wp:extent cx="5670550" cy="4791075"/>
                <wp:effectExtent l="0" t="0" r="25400" b="28575"/>
                <wp:wrapNone/>
                <wp:docPr id="3"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670550" cy="4791075"/>
                        </a:xfrm>
                        <a:prstGeom prst="rect">
                          <a:avLst/>
                        </a:prstGeom>
                        <a:solidFill>
                          <a:srgbClr val="FBB7D3"/>
                        </a:solidFill>
                        <a:ln w="9525">
                          <a:solidFill>
                            <a:srgbClr val="FBB7D3"/>
                          </a:solidFill>
                          <a:miter lim="800000"/>
                          <a:headEnd/>
                          <a:tailEnd/>
                        </a:ln>
                      </wps:spPr>
                      <wps:txbx>
                        <w:txbxContent>
                          <w:p w:rsidR="005617B1" w:rsidRPr="00F9515B" w:rsidRDefault="005617B1" w:rsidP="005617B1">
                            <w:pPr>
                              <w:ind w:firstLine="720"/>
                              <w:rPr>
                                <w:rFonts w:ascii="FS Albert" w:hAnsi="FS Albert"/>
                                <w:b/>
                                <w:color w:val="194062"/>
                                <w:sz w:val="24"/>
                                <w:szCs w:val="24"/>
                              </w:rPr>
                            </w:pPr>
                            <w:r>
                              <w:rPr>
                                <w:rFonts w:ascii="FS Albert" w:hAnsi="FS Albert"/>
                                <w:b/>
                                <w:color w:val="194062"/>
                                <w:sz w:val="24"/>
                                <w:szCs w:val="24"/>
                              </w:rPr>
                              <w:t>Fresh Evidence – i</w:t>
                            </w:r>
                            <w:r w:rsidRPr="00F9515B">
                              <w:rPr>
                                <w:rFonts w:ascii="FS Albert" w:hAnsi="FS Albert"/>
                                <w:b/>
                                <w:color w:val="194062"/>
                                <w:sz w:val="24"/>
                                <w:szCs w:val="24"/>
                              </w:rPr>
                              <w:t>n Brief</w:t>
                            </w:r>
                          </w:p>
                          <w:p w:rsidR="005617B1" w:rsidRDefault="005617B1" w:rsidP="00D715C9">
                            <w:pPr>
                              <w:pStyle w:val="ListParagraph"/>
                              <w:numPr>
                                <w:ilvl w:val="0"/>
                                <w:numId w:val="13"/>
                              </w:numPr>
                            </w:pPr>
                            <w:r>
                              <w:t>“Fresh evidence” means evidence that did not come out at trial.</w:t>
                            </w:r>
                          </w:p>
                          <w:p w:rsidR="00C90F66" w:rsidRPr="00F9515B" w:rsidRDefault="0011353B" w:rsidP="00D715C9">
                            <w:pPr>
                              <w:pStyle w:val="ListParagraph"/>
                              <w:numPr>
                                <w:ilvl w:val="1"/>
                                <w:numId w:val="13"/>
                              </w:numPr>
                            </w:pPr>
                            <w:r>
                              <w:t xml:space="preserve">“Fresh evidence” is wider than just new factual material. It may, for example, include opinions from experts who were not heard at the trial. </w:t>
                            </w:r>
                          </w:p>
                          <w:p w:rsidR="005617B1" w:rsidRDefault="005617B1" w:rsidP="00D715C9">
                            <w:pPr>
                              <w:pStyle w:val="ListParagraph"/>
                              <w:numPr>
                                <w:ilvl w:val="0"/>
                                <w:numId w:val="13"/>
                              </w:numPr>
                            </w:pPr>
                            <w:r>
                              <w:t>In order for it be admissible, there must be a reasonable explanation for the failure to lead the evidence at trial.</w:t>
                            </w:r>
                          </w:p>
                          <w:p w:rsidR="0011353B" w:rsidRDefault="0011353B" w:rsidP="00D715C9">
                            <w:pPr>
                              <w:pStyle w:val="ListParagraph"/>
                              <w:numPr>
                                <w:ilvl w:val="1"/>
                                <w:numId w:val="13"/>
                              </w:numPr>
                            </w:pPr>
                            <w:r>
                              <w:t>Lawyers’ failure to gather or use evidence</w:t>
                            </w:r>
                            <w:r w:rsidR="008A7AED">
                              <w:t xml:space="preserve"> at trial</w:t>
                            </w:r>
                            <w:r>
                              <w:t xml:space="preserve"> is not a reasonable explanation. </w:t>
                            </w:r>
                          </w:p>
                          <w:p w:rsidR="005617B1" w:rsidRDefault="005617B1" w:rsidP="00D715C9">
                            <w:pPr>
                              <w:pStyle w:val="ListParagraph"/>
                              <w:numPr>
                                <w:ilvl w:val="0"/>
                                <w:numId w:val="13"/>
                              </w:numPr>
                            </w:pPr>
                            <w:r>
                              <w:t>In order to be a miscarriage of justice, the fresh evidence must be:</w:t>
                            </w:r>
                          </w:p>
                          <w:p w:rsidR="005617B1" w:rsidRDefault="005617B1" w:rsidP="00D715C9">
                            <w:pPr>
                              <w:pStyle w:val="ListParagraph"/>
                              <w:numPr>
                                <w:ilvl w:val="1"/>
                                <w:numId w:val="13"/>
                              </w:numPr>
                            </w:pPr>
                            <w:r>
                              <w:t>Capable of being regarded as credible and reliable</w:t>
                            </w:r>
                            <w:r w:rsidR="00F2301B">
                              <w:t>; and</w:t>
                            </w:r>
                          </w:p>
                          <w:p w:rsidR="005617B1" w:rsidRDefault="005617B1" w:rsidP="00D715C9">
                            <w:pPr>
                              <w:pStyle w:val="ListParagraph"/>
                              <w:numPr>
                                <w:ilvl w:val="1"/>
                                <w:numId w:val="13"/>
                              </w:numPr>
                            </w:pPr>
                            <w:r>
                              <w:t>Material to a critical issue at the trial</w:t>
                            </w:r>
                            <w:r w:rsidR="00F2301B">
                              <w:t>.</w:t>
                            </w:r>
                          </w:p>
                          <w:p w:rsidR="005617B1" w:rsidRPr="00F9515B" w:rsidRDefault="005617B1" w:rsidP="00D715C9">
                            <w:pPr>
                              <w:pStyle w:val="ListParagraph"/>
                              <w:numPr>
                                <w:ilvl w:val="0"/>
                                <w:numId w:val="13"/>
                              </w:numPr>
                            </w:pPr>
                            <w:r>
                              <w:t xml:space="preserve">There are further requirements if the fresh evidence is a change of position from a witness who gave evidence at trial. </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id="Text Box 2" o:spid="_x0000_s1027" type="#_x0000_t202" style="position:absolute;left:0;text-align:left;margin-left:0;margin-top:12.3pt;width:446.5pt;height:377.25pt;z-index:2516613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" fillcolor="#fbb7d3" strokecolor="#fbb7d3">
                <v:textbox>
                  <w:txbxContent>
                    <w:p w:rsidR="005617B1" w:rsidRPr="00F9515B" w:rsidRDefault="005617B1" w:rsidP="005617B1">
                      <w:pPr>
                        <w:ind w:firstLine="720"/>
                        <w:rPr>
                          <w:rFonts w:ascii="FS Albert" w:hAnsi="FS Albert"/>
                          <w:b/>
                          <w:color w:val="194062"/>
                          <w:sz w:val="24"/>
                          <w:szCs w:val="24"/>
                        </w:rPr>
                      </w:pPr>
                      <w:r>
                        <w:rPr>
                          <w:rFonts w:ascii="FS Albert" w:hAnsi="FS Albert"/>
                          <w:b/>
                          <w:color w:val="194062"/>
                          <w:sz w:val="24"/>
                          <w:szCs w:val="24"/>
                        </w:rPr>
                        <w:t>Fresh Evidence – i</w:t>
                      </w:r>
                      <w:r w:rsidRPr="00F9515B">
                        <w:rPr>
                          <w:rFonts w:ascii="FS Albert" w:hAnsi="FS Albert"/>
                          <w:b/>
                          <w:color w:val="194062"/>
                          <w:sz w:val="24"/>
                          <w:szCs w:val="24"/>
                        </w:rPr>
                        <w:t>n Brief</w:t>
                      </w:r>
                    </w:p>
                    <w:p w:rsidR="005617B1" w:rsidRDefault="005617B1" w:rsidP="00D715C9">
                      <w:pPr>
                        <w:pStyle w:val="ListParagraph"/>
                        <w:numPr>
                          <w:ilvl w:val="0"/>
                          <w:numId w:val="13"/>
                        </w:numPr>
                      </w:pPr>
                      <w:r>
                        <w:t>“Fresh evidence” means evidence that did not come out at trial.</w:t>
                      </w:r>
                    </w:p>
                    <w:p w:rsidR="00C90F66" w:rsidRPr="00F9515B" w:rsidRDefault="0011353B" w:rsidP="00D715C9">
                      <w:pPr>
                        <w:pStyle w:val="ListParagraph"/>
                        <w:numPr>
                          <w:ilvl w:val="1"/>
                          <w:numId w:val="13"/>
                        </w:numPr>
                      </w:pPr>
                      <w:r>
                        <w:t xml:space="preserve">“Fresh evidence” is wider than just new factual material. It may, for example, include opinions from experts who were not heard at the trial. </w:t>
                      </w:r>
                    </w:p>
                    <w:p w:rsidR="005617B1" w:rsidRDefault="005617B1" w:rsidP="00D715C9">
                      <w:pPr>
                        <w:pStyle w:val="ListParagraph"/>
                        <w:numPr>
                          <w:ilvl w:val="0"/>
                          <w:numId w:val="13"/>
                        </w:numPr>
                      </w:pPr>
                      <w:r>
                        <w:t>In order for it be admissible, there must be a reasonable explanation for the failure to lead the evidence at trial.</w:t>
                      </w:r>
                    </w:p>
                    <w:p w:rsidR="0011353B" w:rsidRDefault="0011353B" w:rsidP="00D715C9">
                      <w:pPr>
                        <w:pStyle w:val="ListParagraph"/>
                        <w:numPr>
                          <w:ilvl w:val="1"/>
                          <w:numId w:val="13"/>
                        </w:numPr>
                      </w:pPr>
                      <w:r>
                        <w:t>Lawyers’ failure to gather or use evidence</w:t>
                      </w:r>
                      <w:r w:rsidR="008A7AED">
                        <w:t xml:space="preserve"> at trial</w:t>
                      </w:r>
                      <w:r>
                        <w:t xml:space="preserve"> is not a reasonable explanation. </w:t>
                      </w:r>
                    </w:p>
                    <w:p w:rsidR="005617B1" w:rsidRDefault="005617B1" w:rsidP="00D715C9">
                      <w:pPr>
                        <w:pStyle w:val="ListParagraph"/>
                        <w:numPr>
                          <w:ilvl w:val="0"/>
                          <w:numId w:val="13"/>
                        </w:numPr>
                      </w:pPr>
                      <w:r>
                        <w:t>In order to be a miscarriage of justice, the fresh evidence must be:</w:t>
                      </w:r>
                    </w:p>
                    <w:p w:rsidR="005617B1" w:rsidRDefault="005617B1" w:rsidP="00D715C9">
                      <w:pPr>
                        <w:pStyle w:val="ListParagraph"/>
                        <w:numPr>
                          <w:ilvl w:val="1"/>
                          <w:numId w:val="13"/>
                        </w:numPr>
                      </w:pPr>
                      <w:r>
                        <w:t>Capable of being regarded as credible and reliable</w:t>
                      </w:r>
                      <w:r w:rsidR="00F2301B">
                        <w:t>; and</w:t>
                      </w:r>
                    </w:p>
                    <w:p w:rsidR="005617B1" w:rsidRDefault="005617B1" w:rsidP="00D715C9">
                      <w:pPr>
                        <w:pStyle w:val="ListParagraph"/>
                        <w:numPr>
                          <w:ilvl w:val="1"/>
                          <w:numId w:val="13"/>
                        </w:numPr>
                      </w:pPr>
                      <w:r>
                        <w:t>Material to a critical issue at the trial</w:t>
                      </w:r>
                      <w:r w:rsidR="00F2301B">
                        <w:t>.</w:t>
                      </w:r>
                    </w:p>
                    <w:p w:rsidR="005617B1" w:rsidRPr="00F9515B" w:rsidRDefault="005617B1" w:rsidP="00D715C9">
                      <w:pPr>
                        <w:pStyle w:val="ListParagraph"/>
                        <w:numPr>
                          <w:ilvl w:val="0"/>
                          <w:numId w:val="13"/>
                        </w:numPr>
                      </w:pPr>
                      <w:r>
                        <w:t xml:space="preserve">There are further requirements if the fresh evidence is a change of position from a witness who gave evidence at trial. </w:t>
                      </w:r>
                    </w:p>
                  </w:txbxContent>
                </v:textbox>
              </v:shape>
            </w:pict>
          </mc:Fallback>
        </mc:AlternateContent>
      </w:r>
    </w:p>
    <w:p w:rsidR="005617B1" w:rsidRDefault="005617B1" w:rsidP="005617B1">
      <w:pPr>
        <w:spacing w:before="100" w:beforeAutospacing="1" w:after="100" w:afterAutospacing="1" w:line="360" w:lineRule="auto"/>
        <w:jc w:val="both"/>
        <w:rPr>
          <w:rFonts w:ascii="FS Albert" w:hAnsi="FS Albert"/>
          <w:color w:val="194062"/>
          <w:sz w:val="24"/>
          <w:szCs w:val="24"/>
        </w:rPr>
      </w:pPr>
    </w:p>
    <w:p w:rsidR="005617B1" w:rsidRDefault="005617B1" w:rsidP="005617B1">
      <w:pPr>
        <w:spacing w:before="100" w:beforeAutospacing="1" w:after="100" w:afterAutospacing="1" w:line="360" w:lineRule="auto"/>
        <w:jc w:val="both"/>
        <w:rPr>
          <w:rFonts w:ascii="FS Albert" w:hAnsi="FS Albert"/>
          <w:color w:val="194062"/>
          <w:sz w:val="24"/>
          <w:szCs w:val="24"/>
        </w:rPr>
      </w:pPr>
    </w:p>
    <w:p w:rsidR="005617B1" w:rsidRDefault="005617B1" w:rsidP="005617B1">
      <w:pPr>
        <w:spacing w:before="100" w:beforeAutospacing="1" w:after="100" w:afterAutospacing="1" w:line="360" w:lineRule="auto"/>
        <w:jc w:val="both"/>
        <w:rPr>
          <w:rFonts w:ascii="FS Albert" w:hAnsi="FS Albert"/>
          <w:color w:val="194062"/>
          <w:sz w:val="24"/>
          <w:szCs w:val="24"/>
        </w:rPr>
      </w:pPr>
    </w:p>
    <w:p w:rsidR="005617B1" w:rsidRDefault="005617B1" w:rsidP="005617B1">
      <w:pPr>
        <w:spacing w:before="100" w:beforeAutospacing="1" w:after="100" w:afterAutospacing="1" w:line="360" w:lineRule="auto"/>
        <w:jc w:val="both"/>
        <w:rPr>
          <w:rFonts w:ascii="FS Albert" w:hAnsi="FS Albert"/>
          <w:color w:val="194062"/>
          <w:sz w:val="24"/>
          <w:szCs w:val="24"/>
        </w:rPr>
      </w:pPr>
    </w:p>
    <w:p w:rsidR="005617B1" w:rsidRDefault="005617B1" w:rsidP="005617B1">
      <w:pPr>
        <w:spacing w:before="100" w:beforeAutospacing="1" w:after="100" w:afterAutospacing="1" w:line="360" w:lineRule="auto"/>
        <w:jc w:val="both"/>
        <w:rPr>
          <w:rFonts w:ascii="FS Albert" w:hAnsi="FS Albert"/>
          <w:color w:val="194062"/>
          <w:sz w:val="24"/>
          <w:szCs w:val="24"/>
        </w:rPr>
      </w:pPr>
    </w:p>
    <w:p w:rsidR="00837C20" w:rsidRDefault="00837C20" w:rsidP="000764DF">
      <w:pPr>
        <w:spacing w:before="120" w:after="240" w:line="360" w:lineRule="auto"/>
        <w:jc w:val="both"/>
        <w:rPr>
          <w:rFonts w:ascii="FS Albert" w:hAnsi="FS Albert"/>
          <w:b/>
          <w:sz w:val="24"/>
          <w:szCs w:val="24"/>
          <w:u w:val="single"/>
        </w:rPr>
      </w:pPr>
    </w:p>
    <w:p w:rsidR="00FA5B6E" w:rsidRDefault="00FA5B6E" w:rsidP="000764DF">
      <w:pPr>
        <w:spacing w:before="120" w:after="240" w:line="360" w:lineRule="auto"/>
        <w:jc w:val="both"/>
        <w:rPr>
          <w:rFonts w:ascii="FS Albert" w:hAnsi="FS Albert"/>
          <w:b/>
          <w:color w:val="194062"/>
          <w:sz w:val="24"/>
          <w:szCs w:val="24"/>
        </w:rPr>
      </w:pPr>
    </w:p>
    <w:p w:rsidR="00FA5B6E" w:rsidRDefault="00FA5B6E" w:rsidP="000764DF">
      <w:pPr>
        <w:spacing w:before="120" w:after="240" w:line="360" w:lineRule="auto"/>
        <w:jc w:val="both"/>
        <w:rPr>
          <w:rFonts w:ascii="FS Albert" w:hAnsi="FS Albert"/>
          <w:b/>
          <w:color w:val="194062"/>
          <w:sz w:val="24"/>
          <w:szCs w:val="24"/>
        </w:rPr>
      </w:pPr>
    </w:p>
    <w:p w:rsidR="00FA5B6E" w:rsidRDefault="00FA5B6E" w:rsidP="000764DF">
      <w:pPr>
        <w:spacing w:before="120" w:after="240" w:line="360" w:lineRule="auto"/>
        <w:jc w:val="both"/>
        <w:rPr>
          <w:rFonts w:ascii="FS Albert" w:hAnsi="FS Albert"/>
          <w:b/>
          <w:color w:val="194062"/>
          <w:sz w:val="24"/>
          <w:szCs w:val="24"/>
        </w:rPr>
      </w:pPr>
    </w:p>
    <w:p w:rsidR="00FA5B6E" w:rsidRDefault="00FA5B6E" w:rsidP="000764DF">
      <w:pPr>
        <w:spacing w:before="120" w:after="240" w:line="360" w:lineRule="auto"/>
        <w:jc w:val="both"/>
        <w:rPr>
          <w:rFonts w:ascii="FS Albert" w:hAnsi="FS Albert"/>
          <w:b/>
          <w:color w:val="194062"/>
          <w:sz w:val="24"/>
          <w:szCs w:val="24"/>
        </w:rPr>
      </w:pPr>
    </w:p>
    <w:p w:rsidR="00FA5B6E" w:rsidRDefault="00FA5B6E" w:rsidP="000764DF">
      <w:pPr>
        <w:spacing w:before="120" w:after="240" w:line="360" w:lineRule="auto"/>
        <w:jc w:val="both"/>
        <w:rPr>
          <w:rFonts w:ascii="FS Albert" w:hAnsi="FS Albert"/>
          <w:b/>
          <w:color w:val="194062"/>
          <w:sz w:val="24"/>
          <w:szCs w:val="24"/>
        </w:rPr>
      </w:pPr>
    </w:p>
    <w:p w:rsidR="00FA5B6E" w:rsidRDefault="00DC3E17" w:rsidP="000764DF">
      <w:pPr>
        <w:spacing w:before="120" w:after="240" w:line="360" w:lineRule="auto"/>
        <w:jc w:val="both"/>
        <w:rPr>
          <w:rFonts w:ascii="FS Albert" w:hAnsi="FS Albert"/>
          <w:b/>
          <w:color w:val="194062"/>
          <w:sz w:val="24"/>
          <w:szCs w:val="24"/>
        </w:rPr>
      </w:pPr>
      <w:r>
        <w:rPr>
          <w:rFonts w:ascii="FS Albert" w:hAnsi="FS Albert"/>
          <w:noProof/>
          <w:color w:val="194062"/>
          <w:sz w:val="24"/>
          <w:szCs w:val="24"/>
          <w:lang w:eastAsia="en-GB"/>
        </w:rPr>
        <w:lastRenderedPageBreak/>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style="width:461.25pt;height:582pt">
            <v:imagedata r:id="rId10" o:title="Fresh evidence fourth draft"/>
          </v:shape>
        </w:pict>
      </w:r>
    </w:p>
    <w:p w:rsidR="00FA5B6E" w:rsidRDefault="00FA5B6E" w:rsidP="000764DF">
      <w:pPr>
        <w:spacing w:before="120" w:after="240" w:line="360" w:lineRule="auto"/>
        <w:jc w:val="both"/>
        <w:rPr>
          <w:rFonts w:ascii="FS Albert" w:hAnsi="FS Albert"/>
          <w:b/>
          <w:color w:val="194062"/>
          <w:sz w:val="24"/>
          <w:szCs w:val="24"/>
        </w:rPr>
        <w:sectPr w:rsidR="00FA5B6E" w:rsidSect="00125005">
          <w:headerReference w:type="even" r:id="rId11"/>
          <w:headerReference w:type="default" r:id="rId12"/>
          <w:footerReference w:type="even" r:id="rId13"/>
          <w:footerReference w:type="default" r:id="rId14"/>
          <w:headerReference w:type="first" r:id="rId15"/>
          <w:footerReference w:type="first" r:id="rId16"/>
          <w:pgSz w:w="11906" w:h="16838"/>
          <w:pgMar w:top="1440" w:right="1440" w:bottom="1276" w:left="1440" w:header="708" w:footer="708" w:gutter="0"/>
          <w:cols w:space="708"/>
          <w:docGrid w:linePitch="360"/>
        </w:sectPr>
      </w:pPr>
    </w:p>
    <w:p w:rsidR="005E24D0" w:rsidRPr="00442A3C" w:rsidRDefault="005E24D0" w:rsidP="005E24D0">
      <w:pPr>
        <w:spacing w:before="120" w:after="240" w:line="360" w:lineRule="auto"/>
        <w:jc w:val="both"/>
        <w:rPr>
          <w:rFonts w:ascii="FS Albert" w:hAnsi="FS Albert"/>
          <w:sz w:val="24"/>
          <w:szCs w:val="24"/>
        </w:rPr>
      </w:pPr>
      <w:r>
        <w:rPr>
          <w:rFonts w:ascii="FS Albert" w:hAnsi="FS Albert"/>
          <w:noProof/>
          <w:color w:val="194062"/>
          <w:sz w:val="24"/>
          <w:szCs w:val="24"/>
          <w:lang w:eastAsia="en-GB"/>
        </w:rPr>
        <w:lastRenderedPageBreak/>
        <mc:AlternateContent>
          <mc:Choice Requires="wps">
            <w:drawing>
              <wp:anchor distT="0" distB="0" distL="114300" distR="114300" simplePos="0" relativeHeight="251667456" behindDoc="0" locked="0" layoutInCell="1" allowOverlap="1" wp14:anchorId="3881BC99" wp14:editId="642D0BED">
                <wp:simplePos x="0" y="0"/>
                <wp:positionH relativeFrom="column">
                  <wp:posOffset>3552825</wp:posOffset>
                </wp:positionH>
                <wp:positionV relativeFrom="paragraph">
                  <wp:posOffset>208280</wp:posOffset>
                </wp:positionV>
                <wp:extent cx="2041525" cy="981075"/>
                <wp:effectExtent l="0" t="0" r="0" b="9525"/>
                <wp:wrapNone/>
                <wp:docPr id="8" name="Text Box 8"/>
                <wp:cNvGraphicFramePr/>
                <a:graphic xmlns:a="http://schemas.openxmlformats.org/drawingml/2006/main">
                  <a:graphicData uri="http://schemas.microsoft.com/office/word/2010/wordprocessingShape">
                    <wps:wsp>
                      <wps:cNvSpPr txBox="1"/>
                      <wps:spPr>
                        <a:xfrm>
                          <a:off x="0" y="0"/>
                          <a:ext cx="2041525" cy="981075"/>
                        </a:xfrm>
                        <a:prstGeom prst="rect">
                          <a:avLst/>
                        </a:prstGeom>
                        <a:solidFill>
                          <a:sysClr val="window" lastClr="FFFFFF"/>
                        </a:solidFill>
                        <a:ln w="6350">
                          <a:noFill/>
                        </a:ln>
                        <a:effectLst/>
                      </wps:spPr>
                      <wps:txbx>
                        <w:txbxContent>
                          <w:p w:rsidR="005E24D0" w:rsidRPr="00130123" w:rsidRDefault="005E24D0" w:rsidP="005E24D0">
                            <w:pPr>
                              <w:rPr>
                                <w:rFonts w:ascii="FS Albert Light" w:hAnsi="FS Albert Light"/>
                                <w:color w:val="194062"/>
                              </w:rPr>
                            </w:pPr>
                            <w:r w:rsidRPr="00130123">
                              <w:rPr>
                                <w:rFonts w:ascii="FS Albert Light" w:hAnsi="FS Albert Light"/>
                                <w:color w:val="194062"/>
                              </w:rPr>
                              <w:t>Position Paper:</w:t>
                            </w:r>
                          </w:p>
                          <w:p w:rsidR="005E24D0" w:rsidRPr="00130123" w:rsidRDefault="005E24D0" w:rsidP="005E24D0">
                            <w:pPr>
                              <w:rPr>
                                <w:rFonts w:ascii="FS Albert" w:hAnsi="FS Albert"/>
                                <w:color w:val="194062"/>
                                <w:sz w:val="44"/>
                                <w:szCs w:val="44"/>
                              </w:rPr>
                            </w:pPr>
                            <w:r>
                              <w:rPr>
                                <w:rFonts w:ascii="FS Albert" w:hAnsi="FS Albert"/>
                                <w:color w:val="194062"/>
                                <w:sz w:val="44"/>
                                <w:szCs w:val="44"/>
                              </w:rPr>
                              <w:t>Fresh Evidence</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id="Text Box 8" o:spid="_x0000_s1028" type="#_x0000_t202" style="position:absolute;left:0;text-align:left;margin-left:279.75pt;margin-top:16.4pt;width:160.75pt;height:77.25pt;z-index:25166745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" fillcolor="window" stroked="f" strokeweight=".5pt">
                <v:textbox>
                  <w:txbxContent>
                    <w:p w:rsidR="005E24D0" w:rsidRPr="00130123" w:rsidRDefault="005E24D0" w:rsidP="005E24D0">
                      <w:pPr>
                        <w:rPr>
                          <w:rFonts w:ascii="FS Albert Light" w:hAnsi="FS Albert Light"/>
                          <w:color w:val="194062"/>
                        </w:rPr>
                      </w:pPr>
                      <w:r w:rsidRPr="00130123">
                        <w:rPr>
                          <w:rFonts w:ascii="FS Albert Light" w:hAnsi="FS Albert Light"/>
                          <w:color w:val="194062"/>
                        </w:rPr>
                        <w:t>Position Paper:</w:t>
                      </w:r>
                    </w:p>
                    <w:p w:rsidR="005E24D0" w:rsidRPr="00130123" w:rsidRDefault="005E24D0" w:rsidP="005E24D0">
                      <w:pPr>
                        <w:rPr>
                          <w:rFonts w:ascii="FS Albert" w:hAnsi="FS Albert"/>
                          <w:color w:val="194062"/>
                          <w:sz w:val="44"/>
                          <w:szCs w:val="44"/>
                        </w:rPr>
                      </w:pPr>
                      <w:r>
                        <w:rPr>
                          <w:rFonts w:ascii="FS Albert" w:hAnsi="FS Albert"/>
                          <w:color w:val="194062"/>
                          <w:sz w:val="44"/>
                          <w:szCs w:val="44"/>
                        </w:rPr>
                        <w:t>Fresh Evidence</w:t>
                      </w:r>
                    </w:p>
                  </w:txbxContent>
                </v:textbox>
              </v:shape>
            </w:pict>
          </mc:Fallback>
        </mc:AlternateContent>
      </w:r>
      <w:r w:rsidRPr="00442A3C">
        <w:rPr>
          <w:rFonts w:ascii="FS Albert" w:hAnsi="FS Albert"/>
          <w:noProof/>
          <w:sz w:val="24"/>
          <w:szCs w:val="24"/>
          <w:lang w:eastAsia="en-GB"/>
        </w:rPr>
        <w:drawing>
          <wp:inline distT="0" distB="0" distL="0" distR="0" wp14:anchorId="2F2F74D7" wp14:editId="4AA22B9B">
            <wp:extent cx="3076575" cy="1257300"/>
            <wp:effectExtent l="0" t="0" r="9525" b="0"/>
            <wp:docPr id="9"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3076575" cy="1257300"/>
                    </a:xfrm>
                    <a:prstGeom prst="rect">
                      <a:avLst/>
                    </a:prstGeom>
                    <a:noFill/>
                    <a:ln>
                      <a:noFill/>
                    </a:ln>
                  </pic:spPr>
                </pic:pic>
              </a:graphicData>
            </a:graphic>
          </wp:inline>
        </w:drawing>
      </w:r>
    </w:p>
    <w:p w:rsidR="005E24D0" w:rsidRPr="005E24D0" w:rsidRDefault="005E24D0" w:rsidP="005E24D0">
      <w:pPr>
        <w:spacing w:before="100" w:beforeAutospacing="1" w:after="100" w:afterAutospacing="1" w:line="360" w:lineRule="auto"/>
        <w:jc w:val="both"/>
        <w:rPr>
          <w:rFonts w:ascii="FS Albert" w:hAnsi="FS Albert"/>
          <w:color w:val="D60D52"/>
          <w:sz w:val="28"/>
          <w:szCs w:val="28"/>
        </w:rPr>
      </w:pPr>
      <w:r w:rsidRPr="0089351B">
        <w:rPr>
          <w:rFonts w:ascii="FS Albert" w:hAnsi="FS Albert"/>
          <w:color w:val="D60D52"/>
          <w:sz w:val="28"/>
          <w:szCs w:val="28"/>
        </w:rPr>
        <w:t xml:space="preserve">This paper sets out, in broad terms, the Commission’s approach when dealing with this area of law. </w:t>
      </w:r>
    </w:p>
    <w:p w:rsidR="00442A3C" w:rsidRPr="009B508F" w:rsidRDefault="00442A3C" w:rsidP="000764DF">
      <w:pPr>
        <w:spacing w:before="120" w:after="240" w:line="360" w:lineRule="auto"/>
        <w:jc w:val="both"/>
        <w:rPr>
          <w:rFonts w:ascii="FS Albert" w:hAnsi="FS Albert"/>
          <w:b/>
          <w:color w:val="194062"/>
          <w:sz w:val="32"/>
          <w:szCs w:val="32"/>
        </w:rPr>
      </w:pPr>
      <w:r w:rsidRPr="009B508F">
        <w:rPr>
          <w:rFonts w:ascii="FS Albert" w:hAnsi="FS Albert"/>
          <w:b/>
          <w:color w:val="194062"/>
          <w:sz w:val="32"/>
          <w:szCs w:val="32"/>
        </w:rPr>
        <w:t>Introduction</w:t>
      </w:r>
    </w:p>
    <w:p w:rsidR="008B1F04" w:rsidRPr="00D715C9" w:rsidRDefault="00BB155A" w:rsidP="00D715C9">
      <w:pPr>
        <w:pStyle w:val="ListParagraph"/>
      </w:pPr>
      <w:r w:rsidRPr="00D715C9">
        <w:t xml:space="preserve">The Criminal </w:t>
      </w:r>
      <w:r w:rsidR="001215A5" w:rsidRPr="00D715C9">
        <w:t>A</w:t>
      </w:r>
      <w:r w:rsidR="00EC083F" w:rsidRPr="00D715C9">
        <w:t>ppeal</w:t>
      </w:r>
      <w:r w:rsidRPr="00D715C9">
        <w:t xml:space="preserve"> (Scotland) Act 1926 </w:t>
      </w:r>
      <w:r w:rsidR="004712C5" w:rsidRPr="00D715C9">
        <w:t xml:space="preserve">introduced a power for </w:t>
      </w:r>
      <w:r w:rsidRPr="00D715C9">
        <w:t xml:space="preserve">the High Court of Justiciary to allow an appeal on the basis of </w:t>
      </w:r>
      <w:r w:rsidR="004712C5" w:rsidRPr="00D715C9">
        <w:t xml:space="preserve">new </w:t>
      </w:r>
      <w:r w:rsidR="008A7AED" w:rsidRPr="00D715C9">
        <w:t>evidence that</w:t>
      </w:r>
      <w:r w:rsidRPr="00D715C9">
        <w:t xml:space="preserve"> was not heard at the </w:t>
      </w:r>
      <w:r w:rsidR="004712C5" w:rsidRPr="00D715C9">
        <w:t xml:space="preserve">original </w:t>
      </w:r>
      <w:r w:rsidRPr="00D715C9">
        <w:t xml:space="preserve">trial.  </w:t>
      </w:r>
      <w:r w:rsidR="004712C5" w:rsidRPr="00D715C9">
        <w:t>A</w:t>
      </w:r>
      <w:r w:rsidR="00DD4A41" w:rsidRPr="00D715C9">
        <w:t>n appeal on this ground would succeed</w:t>
      </w:r>
      <w:r w:rsidR="00600CC5" w:rsidRPr="00D715C9">
        <w:t xml:space="preserve"> only </w:t>
      </w:r>
      <w:r w:rsidR="00DD4A41" w:rsidRPr="00D715C9">
        <w:t>where the court was satisfied that had the jury heard the additional evidence they would have been bound to acquit</w:t>
      </w:r>
      <w:r w:rsidR="00EC083F" w:rsidRPr="00D715C9">
        <w:t xml:space="preserve"> and that a verdict in the absence of the additional evidence amounted to a miscarriage of justice</w:t>
      </w:r>
      <w:r w:rsidR="000814DB" w:rsidRPr="00725D59">
        <w:rPr>
          <w:rStyle w:val="FootnoteReference"/>
        </w:rPr>
        <w:footnoteReference w:id="1"/>
      </w:r>
      <w:r w:rsidR="005E24D0" w:rsidRPr="00D715C9">
        <w:t>. The court rarely used this power. F</w:t>
      </w:r>
      <w:r w:rsidR="008B1F04" w:rsidRPr="00D715C9">
        <w:t xml:space="preserve">ollowing the </w:t>
      </w:r>
      <w:r w:rsidR="00EC083F" w:rsidRPr="00D715C9">
        <w:t>Sutherland Committee</w:t>
      </w:r>
      <w:r w:rsidR="009C526A" w:rsidRPr="00D715C9">
        <w:t xml:space="preserve"> report</w:t>
      </w:r>
      <w:r w:rsidR="00600CC5" w:rsidRPr="00725D59">
        <w:rPr>
          <w:rStyle w:val="FootnoteReference"/>
        </w:rPr>
        <w:footnoteReference w:id="2"/>
      </w:r>
      <w:r w:rsidR="00EC083F" w:rsidRPr="00D715C9">
        <w:t xml:space="preserve">, </w:t>
      </w:r>
      <w:r w:rsidR="000B3FB5" w:rsidRPr="00D715C9">
        <w:t>s</w:t>
      </w:r>
      <w:r w:rsidR="00EC083F" w:rsidRPr="00D715C9">
        <w:t xml:space="preserve">ections 106(3) </w:t>
      </w:r>
      <w:r w:rsidR="009C526A" w:rsidRPr="00D715C9">
        <w:t xml:space="preserve">(for solemn procedure) </w:t>
      </w:r>
      <w:r w:rsidR="00EC083F" w:rsidRPr="00D715C9">
        <w:t>and 1</w:t>
      </w:r>
      <w:r w:rsidR="009C526A" w:rsidRPr="00D715C9">
        <w:t>75</w:t>
      </w:r>
      <w:r w:rsidR="00EC083F" w:rsidRPr="00D715C9">
        <w:t>(5)</w:t>
      </w:r>
      <w:r w:rsidR="009C526A" w:rsidRPr="00D715C9">
        <w:t xml:space="preserve"> (for summary procedure)</w:t>
      </w:r>
      <w:r w:rsidR="00EC083F" w:rsidRPr="00D715C9">
        <w:t xml:space="preserve"> of the Criminal Procedure (Scotland) Act</w:t>
      </w:r>
      <w:r w:rsidR="005466BD" w:rsidRPr="00D715C9">
        <w:t xml:space="preserve"> 1995</w:t>
      </w:r>
      <w:r w:rsidR="00EC083F" w:rsidRPr="00D715C9">
        <w:t xml:space="preserve"> were amended </w:t>
      </w:r>
      <w:r w:rsidR="005466BD" w:rsidRPr="00D715C9">
        <w:t>to allow appeals on the basis of the existence and si</w:t>
      </w:r>
      <w:r w:rsidR="005E24D0" w:rsidRPr="00D715C9">
        <w:t>gnificance of evidence</w:t>
      </w:r>
      <w:r w:rsidR="005466BD" w:rsidRPr="00D715C9">
        <w:t xml:space="preserve"> not heard at the original proceedings</w:t>
      </w:r>
      <w:r w:rsidR="00C27E5B" w:rsidRPr="00D715C9">
        <w:t>.  This removed the requirement for “additional” evidence</w:t>
      </w:r>
      <w:r w:rsidR="00BF735C" w:rsidRPr="00D715C9">
        <w:t>, thus for the first time</w:t>
      </w:r>
      <w:r w:rsidR="00C27E5B" w:rsidRPr="00D715C9">
        <w:t xml:space="preserve"> </w:t>
      </w:r>
      <w:r w:rsidR="00D715C9">
        <w:t>permitting, under certain</w:t>
      </w:r>
      <w:r w:rsidR="00BF735C" w:rsidRPr="00D715C9">
        <w:t xml:space="preserve"> limited circumstances, appeals based upon a change in the position of a witness</w:t>
      </w:r>
      <w:r w:rsidR="00C27E5B" w:rsidRPr="00D715C9">
        <w:t xml:space="preserve">. </w:t>
      </w:r>
    </w:p>
    <w:p w:rsidR="00837C20" w:rsidRPr="00FA5B6E" w:rsidRDefault="008B1F04" w:rsidP="00D715C9">
      <w:pPr>
        <w:pStyle w:val="ListParagraph"/>
      </w:pPr>
      <w:r w:rsidRPr="00837C20">
        <w:t xml:space="preserve">Fresh evidence is a common ground of review in applications to the Commission.  It is also a </w:t>
      </w:r>
      <w:r w:rsidR="00CD109A" w:rsidRPr="00837C20">
        <w:t>common</w:t>
      </w:r>
      <w:r w:rsidRPr="00837C20">
        <w:t xml:space="preserve"> ground of referral to the High Court.  In the Commission’s first </w:t>
      </w:r>
      <w:r w:rsidR="00BF735C" w:rsidRPr="00837C20">
        <w:t>twenty</w:t>
      </w:r>
      <w:r w:rsidRPr="00837C20">
        <w:t xml:space="preserve"> years, fresh evidence</w:t>
      </w:r>
      <w:r w:rsidR="00C917E9" w:rsidRPr="00837C20">
        <w:t xml:space="preserve"> was the main ground of referral in 36% of all conviction reviews sent to the High Court</w:t>
      </w:r>
      <w:r w:rsidR="00C072AE" w:rsidRPr="00837C20">
        <w:rPr>
          <w:rStyle w:val="FootnoteReference"/>
        </w:rPr>
        <w:footnoteReference w:id="3"/>
      </w:r>
      <w:r w:rsidRPr="00837C20">
        <w:t xml:space="preserve">.  </w:t>
      </w:r>
      <w:r w:rsidR="008B242E" w:rsidRPr="00837C20">
        <w:t>One particularly celebrated early</w:t>
      </w:r>
      <w:r w:rsidRPr="00837C20">
        <w:t xml:space="preserve"> </w:t>
      </w:r>
      <w:r w:rsidR="008B242E" w:rsidRPr="00837C20">
        <w:t>“fresh evidence” referral</w:t>
      </w:r>
      <w:r w:rsidRPr="00837C20">
        <w:t xml:space="preserve"> was </w:t>
      </w:r>
      <w:r w:rsidRPr="00837C20">
        <w:rPr>
          <w:i/>
        </w:rPr>
        <w:t>Campbell v HMA</w:t>
      </w:r>
      <w:r w:rsidRPr="00837C20">
        <w:rPr>
          <w:rStyle w:val="FootnoteReference"/>
        </w:rPr>
        <w:footnoteReference w:id="4"/>
      </w:r>
      <w:r w:rsidRPr="00837C20">
        <w:t>, the so-called “Ice Cream Wars” case.  One of the grounds on which the Commission referred the case to the High Court was the exis</w:t>
      </w:r>
      <w:r w:rsidR="00FA5B6E">
        <w:t>tence of fresh evidence from a professor of cognitive p</w:t>
      </w:r>
      <w:r w:rsidRPr="00837C20">
        <w:t xml:space="preserve">sychology </w:t>
      </w:r>
      <w:r w:rsidR="00BE2608" w:rsidRPr="00837C20">
        <w:t xml:space="preserve">that it was highly improbable that a number of police officers were able to recall verbatim </w:t>
      </w:r>
      <w:r w:rsidR="009B508F">
        <w:t xml:space="preserve">the </w:t>
      </w:r>
      <w:r w:rsidR="009B508F">
        <w:lastRenderedPageBreak/>
        <w:t xml:space="preserve">accused’s alleged </w:t>
      </w:r>
      <w:r w:rsidR="00BE2608" w:rsidRPr="00837C20">
        <w:t>incriminating remarks.</w:t>
      </w:r>
      <w:r w:rsidR="00414528" w:rsidRPr="00837C20">
        <w:t xml:space="preserve"> </w:t>
      </w:r>
      <w:r w:rsidR="007B79C5" w:rsidRPr="00837C20">
        <w:t>That case established an ongoing trend in the Commission’s body of “fresh evidence” referrals in the sense that a significant majori</w:t>
      </w:r>
      <w:r w:rsidR="00BF69C4">
        <w:t>ty of those that have followed have arisen</w:t>
      </w:r>
      <w:r w:rsidR="007B79C5" w:rsidRPr="00837C20">
        <w:t xml:space="preserve"> from new psychiatric, psychological or other forensic evidence. These have included a string of historical cases concerning alleged coerced/compliant confessions</w:t>
      </w:r>
      <w:r w:rsidR="002B2763" w:rsidRPr="00837C20">
        <w:rPr>
          <w:rStyle w:val="FootnoteReference"/>
        </w:rPr>
        <w:footnoteReference w:id="5"/>
      </w:r>
      <w:r w:rsidR="007B79C5" w:rsidRPr="00837C20">
        <w:t>, issues relating to DNA</w:t>
      </w:r>
      <w:r w:rsidR="002B2763" w:rsidRPr="00837C20">
        <w:rPr>
          <w:rStyle w:val="FootnoteReference"/>
        </w:rPr>
        <w:footnoteReference w:id="6"/>
      </w:r>
      <w:r w:rsidR="002B2763" w:rsidRPr="00837C20">
        <w:t>, forensic speaker comparison</w:t>
      </w:r>
      <w:r w:rsidR="002B2763" w:rsidRPr="00837C20">
        <w:rPr>
          <w:rStyle w:val="FootnoteReference"/>
        </w:rPr>
        <w:footnoteReference w:id="7"/>
      </w:r>
      <w:r w:rsidR="007211EB" w:rsidRPr="00837C20">
        <w:t>, medical evidence about sudden infant death syndrome</w:t>
      </w:r>
      <w:r w:rsidR="007211EB" w:rsidRPr="00837C20">
        <w:rPr>
          <w:rStyle w:val="FootnoteReference"/>
        </w:rPr>
        <w:footnoteReference w:id="8"/>
      </w:r>
      <w:r w:rsidR="007211EB" w:rsidRPr="00837C20">
        <w:t xml:space="preserve"> and issues relating to trauma</w:t>
      </w:r>
      <w:r w:rsidR="007211EB" w:rsidRPr="00837C20">
        <w:rPr>
          <w:rStyle w:val="FootnoteReference"/>
        </w:rPr>
        <w:footnoteReference w:id="9"/>
      </w:r>
      <w:r w:rsidR="009603A7" w:rsidRPr="00837C20">
        <w:t>. As a result of its position</w:t>
      </w:r>
      <w:r w:rsidR="007211EB" w:rsidRPr="00837C20">
        <w:t xml:space="preserve"> at the end of the criminal justice process, the Commission</w:t>
      </w:r>
      <w:r w:rsidR="00B6493E" w:rsidRPr="00837C20">
        <w:t xml:space="preserve"> quite</w:t>
      </w:r>
      <w:r w:rsidR="007211EB" w:rsidRPr="00837C20">
        <w:t xml:space="preserve"> frequently encounters the situation in which the body of knowledge </w:t>
      </w:r>
      <w:r w:rsidR="00B6493E" w:rsidRPr="00837C20">
        <w:t>underlying forensic evidence has advanced since the point at which the applicant was convicted. This may explain the forensic bias in the Commission’s fresh evidence caseload.</w:t>
      </w:r>
      <w:r w:rsidR="007211EB" w:rsidRPr="00837C20">
        <w:t xml:space="preserve"> </w:t>
      </w:r>
      <w:r w:rsidR="007B79C5" w:rsidRPr="00837C20">
        <w:t xml:space="preserve"> </w:t>
      </w:r>
    </w:p>
    <w:p w:rsidR="00442A3C" w:rsidRPr="009B508F" w:rsidRDefault="00442A3C" w:rsidP="000764DF">
      <w:pPr>
        <w:spacing w:before="120" w:after="240" w:line="360" w:lineRule="auto"/>
        <w:jc w:val="both"/>
        <w:rPr>
          <w:rFonts w:ascii="FS Albert" w:hAnsi="FS Albert"/>
          <w:b/>
          <w:color w:val="194062"/>
          <w:sz w:val="32"/>
          <w:szCs w:val="32"/>
        </w:rPr>
      </w:pPr>
      <w:r w:rsidRPr="009B508F">
        <w:rPr>
          <w:rFonts w:ascii="FS Albert" w:hAnsi="FS Albert"/>
          <w:b/>
          <w:color w:val="194062"/>
          <w:sz w:val="32"/>
          <w:szCs w:val="32"/>
        </w:rPr>
        <w:t>The Commission’s Position</w:t>
      </w:r>
    </w:p>
    <w:p w:rsidR="00CD615C" w:rsidRPr="00837C20" w:rsidRDefault="00CD615C" w:rsidP="00D715C9">
      <w:pPr>
        <w:pStyle w:val="ListParagraph"/>
        <w:rPr>
          <w:lang w:eastAsia="en-GB"/>
        </w:rPr>
      </w:pPr>
      <w:r w:rsidRPr="00837C20">
        <w:rPr>
          <w:lang w:eastAsia="en-GB"/>
        </w:rPr>
        <w:t>Section 106(3)(a) of the 1995 Act</w:t>
      </w:r>
      <w:r w:rsidRPr="00837C20">
        <w:rPr>
          <w:rStyle w:val="FootnoteReference"/>
          <w:lang w:eastAsia="en-GB"/>
        </w:rPr>
        <w:footnoteReference w:id="10"/>
      </w:r>
      <w:r w:rsidRPr="00837C20">
        <w:rPr>
          <w:lang w:eastAsia="en-GB"/>
        </w:rPr>
        <w:t xml:space="preserve"> allows for appeals against conviction and sentence based on the existence and significance of evidence which was not heard at the original proceedings.</w:t>
      </w:r>
      <w:r w:rsidR="000764DF" w:rsidRPr="00837C20">
        <w:rPr>
          <w:lang w:eastAsia="en-GB"/>
        </w:rPr>
        <w:t xml:space="preserve">  Section 106(3C) of the 1995 </w:t>
      </w:r>
      <w:r w:rsidR="009B508F">
        <w:rPr>
          <w:lang w:eastAsia="en-GB"/>
        </w:rPr>
        <w:t>permits</w:t>
      </w:r>
      <w:r w:rsidR="000764DF" w:rsidRPr="00837C20">
        <w:rPr>
          <w:lang w:eastAsia="en-GB"/>
        </w:rPr>
        <w:t xml:space="preserve"> appeals based on the existence and significance of evidence fro</w:t>
      </w:r>
      <w:r w:rsidR="009B508F">
        <w:rPr>
          <w:lang w:eastAsia="en-GB"/>
        </w:rPr>
        <w:t>m a person (or from a statement of a person)</w:t>
      </w:r>
      <w:r w:rsidR="000764DF" w:rsidRPr="00837C20">
        <w:rPr>
          <w:lang w:eastAsia="en-GB"/>
        </w:rPr>
        <w:t xml:space="preserve"> who gave evidence at</w:t>
      </w:r>
      <w:r w:rsidR="009B508F">
        <w:rPr>
          <w:lang w:eastAsia="en-GB"/>
        </w:rPr>
        <w:t xml:space="preserve"> the original proceedings that</w:t>
      </w:r>
      <w:r w:rsidR="000764DF" w:rsidRPr="00837C20">
        <w:rPr>
          <w:lang w:eastAsia="en-GB"/>
        </w:rPr>
        <w:t xml:space="preserve"> is different from, or additional to, the evidence g</w:t>
      </w:r>
      <w:r w:rsidR="009B508F">
        <w:rPr>
          <w:lang w:eastAsia="en-GB"/>
        </w:rPr>
        <w:t>iven at the trial</w:t>
      </w:r>
      <w:r w:rsidR="000764DF" w:rsidRPr="00837C20">
        <w:rPr>
          <w:lang w:eastAsia="en-GB"/>
        </w:rPr>
        <w:t>.</w:t>
      </w:r>
      <w:r w:rsidR="003D4138" w:rsidRPr="00837C20">
        <w:rPr>
          <w:lang w:eastAsia="en-GB"/>
        </w:rPr>
        <w:t xml:space="preserve">  </w:t>
      </w:r>
    </w:p>
    <w:p w:rsidR="006803E8" w:rsidRPr="00837C20" w:rsidRDefault="00B213AB" w:rsidP="00D715C9">
      <w:pPr>
        <w:pStyle w:val="ListParagraph"/>
        <w:rPr>
          <w:lang w:eastAsia="en-GB"/>
        </w:rPr>
      </w:pPr>
      <w:r w:rsidRPr="00837C20">
        <w:rPr>
          <w:lang w:eastAsia="en-GB"/>
        </w:rPr>
        <w:t xml:space="preserve">In the Commission referral of </w:t>
      </w:r>
      <w:r w:rsidRPr="00837C20">
        <w:rPr>
          <w:i/>
          <w:lang w:eastAsia="en-GB"/>
        </w:rPr>
        <w:t>Lilburn v HMA</w:t>
      </w:r>
      <w:r w:rsidRPr="00837C20">
        <w:rPr>
          <w:rStyle w:val="FootnoteReference"/>
          <w:i/>
          <w:lang w:eastAsia="en-GB"/>
        </w:rPr>
        <w:footnoteReference w:id="11"/>
      </w:r>
      <w:r w:rsidRPr="00837C20">
        <w:rPr>
          <w:lang w:eastAsia="en-GB"/>
        </w:rPr>
        <w:t>, the court set out a t</w:t>
      </w:r>
      <w:r w:rsidR="00DC3E17">
        <w:rPr>
          <w:lang w:eastAsia="en-GB"/>
        </w:rPr>
        <w:t>hree part</w:t>
      </w:r>
      <w:r w:rsidRPr="00837C20">
        <w:rPr>
          <w:lang w:eastAsia="en-GB"/>
        </w:rPr>
        <w:t xml:space="preserve"> framework for the analysis of the fresh evidence ground. </w:t>
      </w:r>
      <w:r w:rsidR="006803E8" w:rsidRPr="00837C20">
        <w:rPr>
          <w:lang w:eastAsia="en-GB"/>
        </w:rPr>
        <w:t xml:space="preserve">This provides a useful basis for the present discussion. In any fresh evidence </w:t>
      </w:r>
      <w:r w:rsidR="00B6493E" w:rsidRPr="00837C20">
        <w:rPr>
          <w:lang w:eastAsia="en-GB"/>
        </w:rPr>
        <w:t>referral</w:t>
      </w:r>
      <w:r w:rsidR="006803E8" w:rsidRPr="00837C20">
        <w:rPr>
          <w:lang w:eastAsia="en-GB"/>
        </w:rPr>
        <w:t xml:space="preserve">, the Commission will, following the approach in </w:t>
      </w:r>
      <w:r w:rsidR="006803E8" w:rsidRPr="00837C20">
        <w:rPr>
          <w:i/>
          <w:lang w:eastAsia="en-GB"/>
        </w:rPr>
        <w:t>Lilburn</w:t>
      </w:r>
      <w:r w:rsidR="006803E8" w:rsidRPr="00837C20">
        <w:rPr>
          <w:lang w:eastAsia="en-GB"/>
        </w:rPr>
        <w:t>, need to address the following questions:</w:t>
      </w:r>
    </w:p>
    <w:p w:rsidR="006803E8" w:rsidRPr="00837C20" w:rsidRDefault="006803E8" w:rsidP="00D715C9">
      <w:pPr>
        <w:pStyle w:val="ListParagraph"/>
        <w:numPr>
          <w:ilvl w:val="1"/>
          <w:numId w:val="12"/>
        </w:numPr>
      </w:pPr>
      <w:r w:rsidRPr="00837C20">
        <w:t xml:space="preserve">Is </w:t>
      </w:r>
      <w:r w:rsidR="00C47A66">
        <w:t>there evidence not heard at the original proceedings (ie is there fresh evidence at all)</w:t>
      </w:r>
      <w:r w:rsidRPr="00837C20">
        <w:t>?</w:t>
      </w:r>
    </w:p>
    <w:p w:rsidR="006803E8" w:rsidRPr="00837C20" w:rsidRDefault="006803E8" w:rsidP="00D715C9">
      <w:pPr>
        <w:pStyle w:val="ListParagraph"/>
        <w:numPr>
          <w:ilvl w:val="1"/>
          <w:numId w:val="12"/>
        </w:numPr>
      </w:pPr>
      <w:r w:rsidRPr="00837C20">
        <w:t>Is there a reasonable expla</w:t>
      </w:r>
      <w:r w:rsidR="009B508F">
        <w:t>nation for the failure to lead</w:t>
      </w:r>
      <w:r w:rsidRPr="00837C20">
        <w:t xml:space="preserve"> it at trial?</w:t>
      </w:r>
    </w:p>
    <w:p w:rsidR="006803E8" w:rsidRPr="00837C20" w:rsidRDefault="006803E8" w:rsidP="00D715C9">
      <w:pPr>
        <w:pStyle w:val="ListParagraph"/>
        <w:numPr>
          <w:ilvl w:val="1"/>
          <w:numId w:val="12"/>
        </w:numPr>
      </w:pPr>
      <w:r w:rsidRPr="00837C20">
        <w:lastRenderedPageBreak/>
        <w:t>Is it sufficiently material to suggest that a miscarriage of justice may have occurred?</w:t>
      </w:r>
    </w:p>
    <w:p w:rsidR="006803E8" w:rsidRPr="009B508F" w:rsidRDefault="006803E8" w:rsidP="00271C41">
      <w:pPr>
        <w:tabs>
          <w:tab w:val="left" w:pos="-15168"/>
          <w:tab w:val="left" w:pos="-15026"/>
        </w:tabs>
        <w:spacing w:before="120" w:after="100" w:afterAutospacing="1" w:line="360" w:lineRule="auto"/>
        <w:jc w:val="both"/>
        <w:rPr>
          <w:rFonts w:ascii="FS Albert ExtraBold" w:hAnsi="FS Albert ExtraBold"/>
          <w:b/>
          <w:color w:val="194062"/>
          <w:sz w:val="24"/>
          <w:szCs w:val="24"/>
          <w:lang w:eastAsia="en-GB"/>
        </w:rPr>
      </w:pPr>
      <w:r w:rsidRPr="009B508F">
        <w:rPr>
          <w:rFonts w:ascii="FS Albert ExtraBold" w:hAnsi="FS Albert ExtraBold"/>
          <w:b/>
          <w:color w:val="194062"/>
          <w:sz w:val="24"/>
          <w:szCs w:val="24"/>
          <w:lang w:eastAsia="en-GB"/>
        </w:rPr>
        <w:t xml:space="preserve">Is </w:t>
      </w:r>
      <w:r w:rsidR="00C47A66" w:rsidRPr="009B508F">
        <w:rPr>
          <w:rFonts w:ascii="FS Albert ExtraBold" w:hAnsi="FS Albert ExtraBold"/>
          <w:b/>
          <w:color w:val="194062"/>
          <w:sz w:val="24"/>
          <w:szCs w:val="24"/>
          <w:lang w:eastAsia="en-GB"/>
        </w:rPr>
        <w:t>There</w:t>
      </w:r>
      <w:r w:rsidRPr="009B508F">
        <w:rPr>
          <w:rFonts w:ascii="FS Albert ExtraBold" w:hAnsi="FS Albert ExtraBold"/>
          <w:b/>
          <w:color w:val="194062"/>
          <w:sz w:val="24"/>
          <w:szCs w:val="24"/>
          <w:lang w:eastAsia="en-GB"/>
        </w:rPr>
        <w:t xml:space="preserve"> Fresh Evidence?</w:t>
      </w:r>
    </w:p>
    <w:p w:rsidR="006803E8" w:rsidRPr="00837C20" w:rsidRDefault="00B6493E" w:rsidP="00D715C9">
      <w:pPr>
        <w:pStyle w:val="ListParagraph"/>
        <w:rPr>
          <w:lang w:eastAsia="en-GB"/>
        </w:rPr>
      </w:pPr>
      <w:r w:rsidRPr="00837C20">
        <w:rPr>
          <w:lang w:eastAsia="en-GB"/>
        </w:rPr>
        <w:t>The answer to this question is usually quite straightforward</w:t>
      </w:r>
      <w:r w:rsidR="00AB66B3" w:rsidRPr="00837C20">
        <w:rPr>
          <w:lang w:eastAsia="en-GB"/>
        </w:rPr>
        <w:t xml:space="preserve">, particularly where the evidence in question comes from a non-expert witness who was not called at the original trial. It was complicated in </w:t>
      </w:r>
      <w:r w:rsidR="00AB66B3" w:rsidRPr="00837C20">
        <w:rPr>
          <w:i/>
          <w:lang w:eastAsia="en-GB"/>
        </w:rPr>
        <w:t>Lilburn</w:t>
      </w:r>
      <w:r w:rsidR="00AB66B3" w:rsidRPr="00837C20">
        <w:rPr>
          <w:lang w:eastAsia="en-GB"/>
        </w:rPr>
        <w:t xml:space="preserve"> by the existence of a significant number of new psychiatric reports, many of which covered ground that had been explored at the original trial.</w:t>
      </w:r>
      <w:r w:rsidR="00C47A66">
        <w:rPr>
          <w:lang w:eastAsia="en-GB"/>
        </w:rPr>
        <w:t xml:space="preserve"> </w:t>
      </w:r>
      <w:r w:rsidR="006803E8" w:rsidRPr="00837C20">
        <w:rPr>
          <w:lang w:eastAsia="en-GB"/>
        </w:rPr>
        <w:t xml:space="preserve">The court in </w:t>
      </w:r>
      <w:r w:rsidR="006803E8" w:rsidRPr="00837C20">
        <w:rPr>
          <w:i/>
          <w:lang w:eastAsia="en-GB"/>
        </w:rPr>
        <w:t xml:space="preserve">Lilburn </w:t>
      </w:r>
      <w:r w:rsidR="006803E8" w:rsidRPr="00837C20">
        <w:rPr>
          <w:lang w:eastAsia="en-GB"/>
        </w:rPr>
        <w:t xml:space="preserve">adopted a broad construction of the statutory language, observing that s106(3)(a) spoke of new “evidence” rather than “facts”. That case arose from a dispute after trial among mental health professionals about the applicant’s state of mind at the time of his offence. The court held that opinions relating to aspect of the appellant’s mental state that had not been canvassed at trial would qualify, as might opinions on a question that had arisen at trial if they came from a different source. </w:t>
      </w:r>
    </w:p>
    <w:p w:rsidR="00A92198" w:rsidRPr="00837C20" w:rsidRDefault="003734CD" w:rsidP="00D715C9">
      <w:pPr>
        <w:pStyle w:val="ListParagraph"/>
        <w:rPr>
          <w:lang w:eastAsia="en-GB"/>
        </w:rPr>
      </w:pPr>
      <w:r w:rsidRPr="00837C20">
        <w:t xml:space="preserve">The Commission must also consider whether the proposed fresh evidence is, in fact, </w:t>
      </w:r>
      <w:r w:rsidR="006803E8" w:rsidRPr="00837C20">
        <w:t>evidence at all in the sense that it is</w:t>
      </w:r>
      <w:r w:rsidR="00DF3859" w:rsidRPr="00837C20">
        <w:t xml:space="preserve"> </w:t>
      </w:r>
      <w:r w:rsidRPr="00837C20">
        <w:t>admissible in court</w:t>
      </w:r>
      <w:r w:rsidRPr="00837C20">
        <w:rPr>
          <w:rStyle w:val="FootnoteReference"/>
        </w:rPr>
        <w:footnoteReference w:id="12"/>
      </w:r>
      <w:r w:rsidRPr="00837C20">
        <w:t xml:space="preserve">.  </w:t>
      </w:r>
      <w:r w:rsidR="00C47A66">
        <w:t>Again, the answer to this question is usually, but not always, quite straightforward.</w:t>
      </w:r>
    </w:p>
    <w:p w:rsidR="00DF3859" w:rsidRPr="009B508F" w:rsidRDefault="009F1D01" w:rsidP="009B508F">
      <w:pPr>
        <w:pStyle w:val="ListParagraph"/>
        <w:numPr>
          <w:ilvl w:val="0"/>
          <w:numId w:val="0"/>
        </w:numPr>
        <w:rPr>
          <w:rFonts w:ascii="FS Albert ExtraBold" w:hAnsi="FS Albert ExtraBold"/>
          <w:b/>
          <w:lang w:eastAsia="en-GB"/>
        </w:rPr>
      </w:pPr>
      <w:r w:rsidRPr="009B508F">
        <w:rPr>
          <w:rFonts w:ascii="FS Albert ExtraBold" w:hAnsi="FS Albert ExtraBold"/>
          <w:b/>
          <w:lang w:eastAsia="en-GB"/>
        </w:rPr>
        <w:t>Reasonable Explanation</w:t>
      </w:r>
    </w:p>
    <w:p w:rsidR="00926A6D" w:rsidRPr="00837C20" w:rsidRDefault="00926A6D" w:rsidP="00D715C9">
      <w:pPr>
        <w:pStyle w:val="ListParagraph"/>
        <w:rPr>
          <w:lang w:eastAsia="en-GB"/>
        </w:rPr>
      </w:pPr>
      <w:r w:rsidRPr="00837C20">
        <w:t xml:space="preserve">Arguably the leading case on the subject of reasonable explanation remains the 1998 decision in </w:t>
      </w:r>
      <w:r w:rsidRPr="00837C20">
        <w:rPr>
          <w:i/>
        </w:rPr>
        <w:t>Campbell v HMA</w:t>
      </w:r>
      <w:r w:rsidRPr="00837C20">
        <w:rPr>
          <w:rStyle w:val="FootnoteReference"/>
          <w:i/>
        </w:rPr>
        <w:footnoteReference w:id="13"/>
      </w:r>
      <w:r w:rsidRPr="00837C20">
        <w:rPr>
          <w:i/>
        </w:rPr>
        <w:t xml:space="preserve">. </w:t>
      </w:r>
      <w:r w:rsidRPr="00837C20">
        <w:t>In the</w:t>
      </w:r>
      <w:r w:rsidR="002D0639">
        <w:t xml:space="preserve"> more</w:t>
      </w:r>
      <w:r w:rsidRPr="00837C20">
        <w:t xml:space="preserve"> recent case of </w:t>
      </w:r>
      <w:r w:rsidRPr="00837C20">
        <w:rPr>
          <w:i/>
        </w:rPr>
        <w:t>Razzaq v HMA</w:t>
      </w:r>
      <w:r w:rsidR="0044439F" w:rsidRPr="00837C20">
        <w:rPr>
          <w:rStyle w:val="FootnoteReference"/>
          <w:i/>
        </w:rPr>
        <w:footnoteReference w:id="14"/>
      </w:r>
      <w:r w:rsidRPr="00837C20">
        <w:t>, the court produced the following summary of the principles that it had derived from Campbell:</w:t>
      </w:r>
    </w:p>
    <w:p w:rsidR="00926A6D" w:rsidRPr="00463D3B" w:rsidRDefault="00926A6D" w:rsidP="009B508F">
      <w:pPr>
        <w:pStyle w:val="ListParagraph"/>
        <w:numPr>
          <w:ilvl w:val="0"/>
          <w:numId w:val="0"/>
        </w:numPr>
        <w:ind w:left="567"/>
        <w:rPr>
          <w:rFonts w:ascii="FS Albert Light" w:hAnsi="FS Albert Light"/>
          <w:lang w:eastAsia="en-GB"/>
        </w:rPr>
      </w:pPr>
      <w:r w:rsidRPr="00463D3B">
        <w:rPr>
          <w:rFonts w:ascii="FS Albert Light" w:hAnsi="FS Albert Light"/>
          <w:lang w:eastAsia="en-GB"/>
        </w:rPr>
        <w:t xml:space="preserve">“First, if there is not a reasonable explanation of why the evidence was not heard at the trial then questions as to the effect which it might have had at the trial do not arise for consideration. Secondly, the onus is on the appellant to provide a reasonable explanation for the failure to call that evidence at trial. Thirdly, it is not sufficient for an appellant to state that he was not aware of the existence of the witness or, where he was aware of the existence of the witness, that he was not aware that the witness was </w:t>
      </w:r>
      <w:r w:rsidRPr="00463D3B">
        <w:rPr>
          <w:rFonts w:ascii="FS Albert Light" w:hAnsi="FS Albert Light"/>
          <w:lang w:eastAsia="en-GB"/>
        </w:rPr>
        <w:lastRenderedPageBreak/>
        <w:t>able or willing to give evidence of any significance.</w:t>
      </w:r>
      <w:r w:rsidRPr="00463D3B">
        <w:rPr>
          <w:rStyle w:val="FootnoteReference"/>
          <w:rFonts w:ascii="FS Albert Light" w:hAnsi="FS Albert Light"/>
          <w:lang w:eastAsia="en-GB"/>
        </w:rPr>
        <w:footnoteReference w:id="15"/>
      </w:r>
      <w:r w:rsidRPr="00463D3B">
        <w:rPr>
          <w:rFonts w:ascii="FS Albert Light" w:hAnsi="FS Albert Light"/>
          <w:lang w:eastAsia="en-GB"/>
        </w:rPr>
        <w:t xml:space="preserve"> It may be sufficient for the appellant to show that he had no good reason for thinking that the witness existed, or, as the case may be, that he would give the evidence in question. Fourthly, the court should have regard to the interests of justice according to the circumstances of the particular case and the underlying intention of the legislation is that the court should take a broad and flexible approach. Fifthly, it is enough for the appellant to persuade the court to treat the explanation as genuine and he does not require to show by full legal proof that it is true.”</w:t>
      </w:r>
    </w:p>
    <w:p w:rsidR="0011353B" w:rsidRPr="0011353B" w:rsidRDefault="0011353B" w:rsidP="00D715C9">
      <w:pPr>
        <w:pStyle w:val="ListParagraph"/>
        <w:rPr>
          <w:lang w:eastAsia="en-GB"/>
        </w:rPr>
      </w:pPr>
      <w:r>
        <w:rPr>
          <w:lang w:eastAsia="en-GB"/>
        </w:rPr>
        <w:t xml:space="preserve">A failure by legal representatives to obtain evidence that they should have obtained or to lead at trial evidence that they </w:t>
      </w:r>
      <w:r w:rsidR="008A7AED">
        <w:rPr>
          <w:lang w:eastAsia="en-GB"/>
        </w:rPr>
        <w:t>ought to have led will not amount to a reasonable explanation. Scots law analyses such arguments as claims of defective representation. More information on the subject may be found in the corresponding position paper.</w:t>
      </w:r>
    </w:p>
    <w:p w:rsidR="00926A6D" w:rsidRPr="00463D3B" w:rsidRDefault="00926A6D" w:rsidP="00463D3B">
      <w:pPr>
        <w:pStyle w:val="ListParagraph"/>
        <w:numPr>
          <w:ilvl w:val="0"/>
          <w:numId w:val="0"/>
        </w:numPr>
        <w:rPr>
          <w:rFonts w:ascii="FS Albert ExtraBold" w:hAnsi="FS Albert ExtraBold"/>
          <w:lang w:eastAsia="en-GB"/>
        </w:rPr>
      </w:pPr>
      <w:r w:rsidRPr="00463D3B">
        <w:rPr>
          <w:rFonts w:ascii="FS Albert ExtraBold" w:hAnsi="FS Albert ExtraBold"/>
        </w:rPr>
        <w:t>Materiality</w:t>
      </w:r>
    </w:p>
    <w:p w:rsidR="00025724" w:rsidRPr="00837C20" w:rsidRDefault="0011353B" w:rsidP="00D715C9">
      <w:pPr>
        <w:pStyle w:val="ListParagraph"/>
        <w:rPr>
          <w:lang w:eastAsia="en-GB"/>
        </w:rPr>
      </w:pPr>
      <w:r>
        <w:t>T</w:t>
      </w:r>
      <w:r w:rsidR="00926A6D" w:rsidRPr="00837C20">
        <w:t>he leading case in this regard is</w:t>
      </w:r>
      <w:r w:rsidR="00025724" w:rsidRPr="00837C20">
        <w:rPr>
          <w:i/>
        </w:rPr>
        <w:t xml:space="preserve"> Megrahi v HMA</w:t>
      </w:r>
      <w:r w:rsidR="00025724" w:rsidRPr="00837C20">
        <w:rPr>
          <w:rStyle w:val="FootnoteReference"/>
          <w:i/>
        </w:rPr>
        <w:footnoteReference w:id="16"/>
      </w:r>
      <w:r w:rsidR="00900324" w:rsidRPr="00837C20">
        <w:t>,</w:t>
      </w:r>
      <w:r w:rsidR="00025724" w:rsidRPr="00837C20">
        <w:rPr>
          <w:i/>
        </w:rPr>
        <w:t xml:space="preserve"> </w:t>
      </w:r>
      <w:r w:rsidR="00025724" w:rsidRPr="00837C20">
        <w:t>i</w:t>
      </w:r>
      <w:r w:rsidR="00926A6D" w:rsidRPr="00837C20">
        <w:t>n which the court set out the following test</w:t>
      </w:r>
      <w:r w:rsidR="00025724" w:rsidRPr="00837C20">
        <w:t>:</w:t>
      </w:r>
    </w:p>
    <w:p w:rsidR="00025724" w:rsidRPr="00837C20" w:rsidRDefault="00025724" w:rsidP="000764DF">
      <w:pPr>
        <w:tabs>
          <w:tab w:val="left" w:pos="-15168"/>
          <w:tab w:val="left" w:pos="-15026"/>
        </w:tabs>
        <w:spacing w:before="120" w:after="100" w:afterAutospacing="1" w:line="360" w:lineRule="auto"/>
        <w:ind w:left="567"/>
        <w:jc w:val="both"/>
        <w:rPr>
          <w:rFonts w:ascii="FS Albert Light" w:hAnsi="FS Albert Light"/>
          <w:color w:val="194062"/>
          <w:sz w:val="24"/>
          <w:szCs w:val="24"/>
          <w:lang w:eastAsia="en-GB"/>
        </w:rPr>
      </w:pPr>
      <w:r w:rsidRPr="00837C20">
        <w:rPr>
          <w:rFonts w:ascii="FS Albert Light" w:hAnsi="FS Albert Light"/>
          <w:color w:val="194062"/>
          <w:sz w:val="24"/>
          <w:szCs w:val="24"/>
          <w:lang w:eastAsia="en-GB"/>
        </w:rPr>
        <w:t>“(2) In an appeal based on the existence and significance of evidence not heard at the trial, the court will quash the conviction if it is satisfied that the original jury, had it heard the new evidence, would have been bound to a</w:t>
      </w:r>
      <w:r w:rsidR="005A0D1E" w:rsidRPr="00837C20">
        <w:rPr>
          <w:rFonts w:ascii="FS Albert Light" w:hAnsi="FS Albert Light"/>
          <w:color w:val="194062"/>
          <w:sz w:val="24"/>
          <w:szCs w:val="24"/>
          <w:lang w:eastAsia="en-GB"/>
        </w:rPr>
        <w:t>c</w:t>
      </w:r>
      <w:r w:rsidRPr="00837C20">
        <w:rPr>
          <w:rFonts w:ascii="FS Albert Light" w:hAnsi="FS Albert Light"/>
          <w:color w:val="194062"/>
          <w:sz w:val="24"/>
          <w:szCs w:val="24"/>
          <w:lang w:eastAsia="en-GB"/>
        </w:rPr>
        <w:t>quit.</w:t>
      </w:r>
    </w:p>
    <w:p w:rsidR="00025724" w:rsidRPr="00837C20" w:rsidRDefault="00025724" w:rsidP="000764DF">
      <w:pPr>
        <w:tabs>
          <w:tab w:val="left" w:pos="-15168"/>
          <w:tab w:val="left" w:pos="-15026"/>
        </w:tabs>
        <w:spacing w:before="120" w:after="100" w:afterAutospacing="1" w:line="360" w:lineRule="auto"/>
        <w:ind w:left="567"/>
        <w:jc w:val="both"/>
        <w:rPr>
          <w:rFonts w:ascii="FS Albert Light" w:hAnsi="FS Albert Light"/>
          <w:color w:val="194062"/>
          <w:sz w:val="24"/>
          <w:szCs w:val="24"/>
          <w:lang w:eastAsia="en-GB"/>
        </w:rPr>
      </w:pPr>
      <w:r w:rsidRPr="00837C20">
        <w:rPr>
          <w:rFonts w:ascii="FS Albert Light" w:hAnsi="FS Albert Light"/>
          <w:color w:val="194062"/>
          <w:sz w:val="24"/>
          <w:szCs w:val="24"/>
          <w:lang w:eastAsia="en-GB"/>
        </w:rPr>
        <w:t>(3) Where the court cannot be satisfied that the jury would have been bound to acquit, it may nevertheless be satisfied that a miscarriage of justice has occurred.</w:t>
      </w:r>
    </w:p>
    <w:p w:rsidR="00025724" w:rsidRPr="00837C20" w:rsidRDefault="00025724" w:rsidP="000764DF">
      <w:pPr>
        <w:tabs>
          <w:tab w:val="left" w:pos="-15168"/>
          <w:tab w:val="left" w:pos="-15026"/>
        </w:tabs>
        <w:spacing w:before="120" w:after="100" w:afterAutospacing="1" w:line="360" w:lineRule="auto"/>
        <w:ind w:left="567"/>
        <w:jc w:val="both"/>
        <w:rPr>
          <w:rFonts w:ascii="FS Albert Light" w:hAnsi="FS Albert Light"/>
          <w:color w:val="194062"/>
          <w:sz w:val="24"/>
          <w:szCs w:val="24"/>
          <w:lang w:eastAsia="en-GB"/>
        </w:rPr>
      </w:pPr>
      <w:r w:rsidRPr="00837C20">
        <w:rPr>
          <w:rFonts w:ascii="FS Albert Light" w:hAnsi="FS Albert Light"/>
          <w:color w:val="194062"/>
          <w:sz w:val="24"/>
          <w:szCs w:val="24"/>
          <w:lang w:eastAsia="en-GB"/>
        </w:rPr>
        <w:t>(4) Since setting aside the verdict of a jury is no light matter, before the court can hold that there has been a miscarriage of justice it will require to be satisfied that the additional evidence is not merely relevant but also of such significance that it will be reasonable to conclude that the verdict of the jury, reached in ignorance of its existence, must be regarded as a miscarriage of justice.</w:t>
      </w:r>
    </w:p>
    <w:p w:rsidR="00025724" w:rsidRPr="00837C20" w:rsidRDefault="00025724" w:rsidP="000764DF">
      <w:pPr>
        <w:tabs>
          <w:tab w:val="left" w:pos="-15168"/>
          <w:tab w:val="left" w:pos="-15026"/>
        </w:tabs>
        <w:spacing w:before="120" w:after="100" w:afterAutospacing="1" w:line="360" w:lineRule="auto"/>
        <w:ind w:left="567"/>
        <w:jc w:val="both"/>
        <w:rPr>
          <w:rFonts w:ascii="FS Albert Light" w:hAnsi="FS Albert Light"/>
          <w:color w:val="194062"/>
          <w:sz w:val="24"/>
          <w:szCs w:val="24"/>
          <w:lang w:eastAsia="en-GB"/>
        </w:rPr>
      </w:pPr>
      <w:r w:rsidRPr="00837C20">
        <w:rPr>
          <w:rFonts w:ascii="FS Albert Light" w:hAnsi="FS Albert Light"/>
          <w:color w:val="194062"/>
          <w:sz w:val="24"/>
          <w:szCs w:val="24"/>
          <w:lang w:eastAsia="en-GB"/>
        </w:rPr>
        <w:t xml:space="preserve">(5) The decision on the issue of the significance of the additional evidence is for the appeal court, which will require to be satisfied that it is important and of such a kind </w:t>
      </w:r>
      <w:r w:rsidRPr="00837C20">
        <w:rPr>
          <w:rFonts w:ascii="FS Albert Light" w:hAnsi="FS Albert Light"/>
          <w:color w:val="194062"/>
          <w:sz w:val="24"/>
          <w:szCs w:val="24"/>
          <w:lang w:eastAsia="en-GB"/>
        </w:rPr>
        <w:lastRenderedPageBreak/>
        <w:t xml:space="preserve">and quality that it was likely that a reasonable jury properly directed would have found it of material assistance in its consideration of a critical issue at the trial.  </w:t>
      </w:r>
    </w:p>
    <w:p w:rsidR="00025724" w:rsidRPr="00837C20" w:rsidRDefault="00025724" w:rsidP="000764DF">
      <w:pPr>
        <w:tabs>
          <w:tab w:val="left" w:pos="-15168"/>
          <w:tab w:val="left" w:pos="-15026"/>
        </w:tabs>
        <w:spacing w:before="120" w:after="100" w:afterAutospacing="1" w:line="360" w:lineRule="auto"/>
        <w:ind w:left="567"/>
        <w:jc w:val="both"/>
        <w:rPr>
          <w:rFonts w:ascii="FS Albert Light" w:hAnsi="FS Albert Light"/>
          <w:color w:val="194062"/>
          <w:sz w:val="24"/>
          <w:szCs w:val="24"/>
          <w:lang w:eastAsia="en-GB"/>
        </w:rPr>
      </w:pPr>
      <w:r w:rsidRPr="00837C20">
        <w:rPr>
          <w:rFonts w:ascii="FS Albert Light" w:hAnsi="FS Albert Light"/>
          <w:color w:val="194062"/>
          <w:sz w:val="24"/>
          <w:szCs w:val="24"/>
          <w:lang w:eastAsia="en-GB"/>
        </w:rPr>
        <w:t>(6) The appeal court will therefore require to be persuaded that the additional evidence is (a) capable of being regarded as credible and reliable by a reasonable jury, and (b) li</w:t>
      </w:r>
      <w:r w:rsidR="000764DF" w:rsidRPr="00837C20">
        <w:rPr>
          <w:rFonts w:ascii="FS Albert Light" w:hAnsi="FS Albert Light"/>
          <w:color w:val="194062"/>
          <w:sz w:val="24"/>
          <w:szCs w:val="24"/>
          <w:lang w:eastAsia="en-GB"/>
        </w:rPr>
        <w:t>k</w:t>
      </w:r>
      <w:r w:rsidRPr="00837C20">
        <w:rPr>
          <w:rFonts w:ascii="FS Albert Light" w:hAnsi="FS Albert Light"/>
          <w:color w:val="194062"/>
          <w:sz w:val="24"/>
          <w:szCs w:val="24"/>
          <w:lang w:eastAsia="en-GB"/>
        </w:rPr>
        <w:t>ely to have had a material bearing on, or a material part to play in, the determination by such a jury of a critical issue at the trial.”</w:t>
      </w:r>
    </w:p>
    <w:p w:rsidR="00B21AEE" w:rsidRPr="00FA5B6E" w:rsidRDefault="003D4138" w:rsidP="00D715C9">
      <w:pPr>
        <w:pStyle w:val="ListParagraph"/>
        <w:rPr>
          <w:b/>
          <w:u w:val="single"/>
        </w:rPr>
      </w:pPr>
      <w:r w:rsidRPr="00837C20">
        <w:t xml:space="preserve">If the Commission is satisfied that the additional evidence is capable of being regarded as credible and reliable by a reasonable jury, it </w:t>
      </w:r>
      <w:r w:rsidR="0068423E" w:rsidRPr="00837C20">
        <w:t xml:space="preserve">will </w:t>
      </w:r>
      <w:r w:rsidRPr="00837C20">
        <w:t xml:space="preserve">then </w:t>
      </w:r>
      <w:r w:rsidR="0068423E" w:rsidRPr="00837C20">
        <w:t xml:space="preserve">go on to </w:t>
      </w:r>
      <w:r w:rsidRPr="00837C20">
        <w:t>consider whether the additional evidence is likely to have had a material bearing on, or a material part to play in, the determination by such a jury of a critical issue at trial. This must be assessed in the context of the trial as a whole</w:t>
      </w:r>
      <w:r w:rsidRPr="00837C20">
        <w:rPr>
          <w:rStyle w:val="FootnoteReference"/>
        </w:rPr>
        <w:footnoteReference w:id="17"/>
      </w:r>
      <w:r w:rsidR="003F5D63" w:rsidRPr="00837C20">
        <w:t xml:space="preserve">.  The Commission must </w:t>
      </w:r>
      <w:r w:rsidR="00A90244" w:rsidRPr="00837C20">
        <w:t>consider</w:t>
      </w:r>
      <w:r w:rsidR="003F5D63" w:rsidRPr="00837C20">
        <w:t xml:space="preserve"> that the absence</w:t>
      </w:r>
      <w:r w:rsidR="00C35A8E" w:rsidRPr="00837C20">
        <w:t xml:space="preserve"> of the fresh evidence</w:t>
      </w:r>
      <w:r w:rsidR="00A90244" w:rsidRPr="00837C20">
        <w:t xml:space="preserve"> may have</w:t>
      </w:r>
      <w:r w:rsidR="00C35A8E" w:rsidRPr="00837C20">
        <w:t xml:space="preserve"> resulted in a miscarriage of justice</w:t>
      </w:r>
      <w:r w:rsidR="00C35A8E" w:rsidRPr="00837C20">
        <w:rPr>
          <w:rStyle w:val="FootnoteReference"/>
        </w:rPr>
        <w:footnoteReference w:id="18"/>
      </w:r>
    </w:p>
    <w:p w:rsidR="003D4138" w:rsidRPr="00463D3B" w:rsidRDefault="003D4138" w:rsidP="003D4138">
      <w:pPr>
        <w:spacing w:before="120" w:after="240" w:line="360" w:lineRule="auto"/>
        <w:jc w:val="both"/>
        <w:rPr>
          <w:rFonts w:ascii="FS Albert ExtraBold" w:hAnsi="FS Albert ExtraBold"/>
          <w:b/>
          <w:color w:val="194062"/>
          <w:sz w:val="24"/>
          <w:szCs w:val="24"/>
        </w:rPr>
      </w:pPr>
      <w:r w:rsidRPr="00463D3B">
        <w:rPr>
          <w:rFonts w:ascii="FS Albert ExtraBold" w:hAnsi="FS Albert ExtraBold"/>
          <w:b/>
          <w:color w:val="194062"/>
          <w:sz w:val="24"/>
          <w:szCs w:val="24"/>
        </w:rPr>
        <w:t>Section 106(3</w:t>
      </w:r>
      <w:r w:rsidR="00CD109A" w:rsidRPr="00463D3B">
        <w:rPr>
          <w:rFonts w:ascii="FS Albert ExtraBold" w:hAnsi="FS Albert ExtraBold"/>
          <w:b/>
          <w:color w:val="194062"/>
          <w:sz w:val="24"/>
          <w:szCs w:val="24"/>
        </w:rPr>
        <w:t>C</w:t>
      </w:r>
      <w:r w:rsidRPr="00463D3B">
        <w:rPr>
          <w:rFonts w:ascii="FS Albert ExtraBold" w:hAnsi="FS Albert ExtraBold"/>
          <w:b/>
          <w:color w:val="194062"/>
          <w:sz w:val="24"/>
          <w:szCs w:val="24"/>
        </w:rPr>
        <w:t>)</w:t>
      </w:r>
    </w:p>
    <w:p w:rsidR="00512DFC" w:rsidRPr="00837C20" w:rsidRDefault="003D4138" w:rsidP="00463D3B">
      <w:pPr>
        <w:pStyle w:val="ListParagraph"/>
      </w:pPr>
      <w:r w:rsidRPr="00837C20">
        <w:t>As outlined above</w:t>
      </w:r>
      <w:r w:rsidR="003041ED" w:rsidRPr="00837C20">
        <w:rPr>
          <w:rStyle w:val="FootnoteReference"/>
        </w:rPr>
        <w:footnoteReference w:id="19"/>
      </w:r>
      <w:r w:rsidRPr="00837C20">
        <w:t>,</w:t>
      </w:r>
      <w:r w:rsidR="00900324" w:rsidRPr="00837C20">
        <w:t xml:space="preserve"> </w:t>
      </w:r>
      <w:r w:rsidR="000B3FB5" w:rsidRPr="00837C20">
        <w:t>s</w:t>
      </w:r>
      <w:r w:rsidRPr="00837C20">
        <w:t xml:space="preserve">ection 106(3C) of the 1995 Act allows for appeals based on the existence of additional evidence from a person, or from the statement of a person, who gave evidence at the original proceedings and which is different from the evidence given at the original proceedings.  </w:t>
      </w:r>
    </w:p>
    <w:p w:rsidR="003D4138" w:rsidRPr="00837C20" w:rsidRDefault="003D4138" w:rsidP="00D715C9">
      <w:pPr>
        <w:pStyle w:val="ListParagraph"/>
      </w:pPr>
      <w:r w:rsidRPr="00837C20">
        <w:t xml:space="preserve">In considering evidence under these provisions, the Commission must be satisfied that there is a reasonable explanation as to </w:t>
      </w:r>
      <w:r w:rsidR="0033564F" w:rsidRPr="00837C20">
        <w:t xml:space="preserve">why the evidence was not led at the original proceedings.  This explanation must be supported by independent evidence.  Section 106(3D) of the 1995 Act defines this </w:t>
      </w:r>
      <w:r w:rsidR="0068423E" w:rsidRPr="00837C20">
        <w:t>“</w:t>
      </w:r>
      <w:r w:rsidR="0033564F" w:rsidRPr="00837C20">
        <w:t>independent evidence</w:t>
      </w:r>
      <w:r w:rsidR="0068423E" w:rsidRPr="00837C20">
        <w:t>”</w:t>
      </w:r>
      <w:r w:rsidR="00463D3B">
        <w:t xml:space="preserve"> as evidence that</w:t>
      </w:r>
      <w:r w:rsidR="0033564F" w:rsidRPr="00837C20">
        <w:t xml:space="preserve"> was not heard at the original proceedings; </w:t>
      </w:r>
      <w:r w:rsidR="00CD109A" w:rsidRPr="00837C20">
        <w:t xml:space="preserve">which </w:t>
      </w:r>
      <w:r w:rsidR="0033564F" w:rsidRPr="00837C20">
        <w:t xml:space="preserve">comes from a source independent of the person from whom the additional evidence </w:t>
      </w:r>
      <w:r w:rsidR="0001012D" w:rsidRPr="00837C20">
        <w:t>emanates</w:t>
      </w:r>
      <w:r w:rsidR="0033564F" w:rsidRPr="00837C20">
        <w:t xml:space="preserve">; and </w:t>
      </w:r>
      <w:r w:rsidR="00CD109A" w:rsidRPr="00837C20">
        <w:t xml:space="preserve">which </w:t>
      </w:r>
      <w:r w:rsidR="0033564F" w:rsidRPr="00837C20">
        <w:t>is accepted as being credible and reliable.</w:t>
      </w:r>
      <w:r w:rsidR="00692421" w:rsidRPr="00837C20">
        <w:t xml:space="preserve">  The Commission notes that appeals under this </w:t>
      </w:r>
      <w:r w:rsidR="000B3FB5" w:rsidRPr="00837C20">
        <w:t>s</w:t>
      </w:r>
      <w:r w:rsidR="00692421" w:rsidRPr="00837C20">
        <w:t>ection of the 1995 Act are rarely successful</w:t>
      </w:r>
      <w:r w:rsidR="000B3FB5" w:rsidRPr="00837C20">
        <w:t>.</w:t>
      </w:r>
      <w:r w:rsidR="00692421" w:rsidRPr="00837C20">
        <w:t xml:space="preserve"> </w:t>
      </w:r>
      <w:r w:rsidR="000B3FB5" w:rsidRPr="00837C20">
        <w:t>T</w:t>
      </w:r>
      <w:r w:rsidR="00692421" w:rsidRPr="00837C20">
        <w:t xml:space="preserve">he decision in </w:t>
      </w:r>
      <w:r w:rsidR="00692421" w:rsidRPr="00837C20">
        <w:rPr>
          <w:i/>
        </w:rPr>
        <w:t>McCreight v HMA</w:t>
      </w:r>
      <w:r w:rsidR="00692421" w:rsidRPr="00837C20">
        <w:rPr>
          <w:rStyle w:val="FootnoteReference"/>
          <w:i/>
        </w:rPr>
        <w:footnoteReference w:id="20"/>
      </w:r>
      <w:r w:rsidR="000B3FB5" w:rsidRPr="00837C20">
        <w:t>, however,</w:t>
      </w:r>
      <w:r w:rsidR="00692421" w:rsidRPr="00837C20">
        <w:t xml:space="preserve"> provides an example </w:t>
      </w:r>
      <w:r w:rsidR="00D65223" w:rsidRPr="00837C20">
        <w:t>of a case where the court accepted such evidence.</w:t>
      </w:r>
    </w:p>
    <w:p w:rsidR="00C35A8E" w:rsidRPr="00463D3B" w:rsidRDefault="00C35A8E" w:rsidP="00463D3B">
      <w:pPr>
        <w:pStyle w:val="ListParagraph"/>
        <w:numPr>
          <w:ilvl w:val="0"/>
          <w:numId w:val="0"/>
        </w:numPr>
        <w:rPr>
          <w:rFonts w:ascii="FS Albert ExtraBold" w:hAnsi="FS Albert ExtraBold"/>
        </w:rPr>
      </w:pPr>
      <w:r w:rsidRPr="00463D3B">
        <w:rPr>
          <w:rFonts w:ascii="FS Albert ExtraBold" w:hAnsi="FS Albert ExtraBold"/>
        </w:rPr>
        <w:lastRenderedPageBreak/>
        <w:t>Sentence</w:t>
      </w:r>
    </w:p>
    <w:p w:rsidR="008C56AF" w:rsidRPr="00837C20" w:rsidRDefault="00C35A8E" w:rsidP="00463D3B">
      <w:pPr>
        <w:pStyle w:val="ListParagraph"/>
      </w:pPr>
      <w:r w:rsidRPr="00837C20">
        <w:t xml:space="preserve">When considering an application for a review of sentence on the basis of fresh evidence, the Commission </w:t>
      </w:r>
      <w:r w:rsidR="00C541A4" w:rsidRPr="00837C20">
        <w:t>must consider whether the</w:t>
      </w:r>
      <w:r w:rsidR="00133E68" w:rsidRPr="00837C20">
        <w:t>re is a reasonable explanation as to why the fresh evidence was not heard at the original proceedings; whether the evidence is credible and reliable; and whether the fresh evidence is cogent and important evidence of a kind and quality which would have been of material to the court at the original proceedings</w:t>
      </w:r>
      <w:r w:rsidR="00C541A4" w:rsidRPr="00837C20">
        <w:rPr>
          <w:rStyle w:val="FootnoteReference"/>
        </w:rPr>
        <w:footnoteReference w:id="21"/>
      </w:r>
      <w:r w:rsidR="00C541A4" w:rsidRPr="00837C20">
        <w:t>.</w:t>
      </w:r>
    </w:p>
    <w:p w:rsidR="00FA5B6E" w:rsidRPr="00463D3B" w:rsidRDefault="005B764D" w:rsidP="00463D3B">
      <w:pPr>
        <w:pStyle w:val="ListParagraph"/>
        <w:numPr>
          <w:ilvl w:val="0"/>
          <w:numId w:val="0"/>
        </w:numPr>
        <w:rPr>
          <w:b/>
          <w:sz w:val="32"/>
          <w:szCs w:val="32"/>
        </w:rPr>
      </w:pPr>
      <w:r w:rsidRPr="00463D3B">
        <w:rPr>
          <w:b/>
          <w:sz w:val="32"/>
          <w:szCs w:val="32"/>
        </w:rPr>
        <w:t>Specific</w:t>
      </w:r>
      <w:r w:rsidR="008C56AF" w:rsidRPr="00463D3B">
        <w:rPr>
          <w:b/>
          <w:sz w:val="32"/>
          <w:szCs w:val="32"/>
        </w:rPr>
        <w:t xml:space="preserve"> considerations</w:t>
      </w:r>
    </w:p>
    <w:p w:rsidR="00C541A4" w:rsidRPr="00837C20" w:rsidRDefault="008C56AF" w:rsidP="00D715C9">
      <w:pPr>
        <w:pStyle w:val="ListParagraph"/>
      </w:pPr>
      <w:r w:rsidRPr="00837C20">
        <w:t>Where an applicant is legally represented, the Commission would expect an application on the grounds of fresh evidence from a witness to contain a precognition</w:t>
      </w:r>
      <w:r w:rsidR="00131534" w:rsidRPr="00837C20">
        <w:t>,</w:t>
      </w:r>
      <w:r w:rsidRPr="00837C20">
        <w:t xml:space="preserve"> </w:t>
      </w:r>
      <w:r w:rsidR="0068423E" w:rsidRPr="00837C20">
        <w:t xml:space="preserve">statement </w:t>
      </w:r>
      <w:r w:rsidRPr="00837C20">
        <w:t>or affidavit from that witness.  The Commissi</w:t>
      </w:r>
      <w:r w:rsidR="00597E77" w:rsidRPr="00837C20">
        <w:t xml:space="preserve">on may reject cases at Stage 1 </w:t>
      </w:r>
      <w:r w:rsidR="00EE65B5" w:rsidRPr="00837C20">
        <w:t xml:space="preserve">where </w:t>
      </w:r>
      <w:r w:rsidR="0068423E" w:rsidRPr="00837C20">
        <w:t>no such supporting documentation has been produced.</w:t>
      </w:r>
    </w:p>
    <w:p w:rsidR="00171606" w:rsidRPr="00837C20" w:rsidRDefault="00171606" w:rsidP="00D715C9">
      <w:pPr>
        <w:pStyle w:val="ListParagraph"/>
      </w:pPr>
      <w:r w:rsidRPr="00837C20">
        <w:t xml:space="preserve">In </w:t>
      </w:r>
      <w:r w:rsidRPr="00837C20">
        <w:rPr>
          <w:i/>
        </w:rPr>
        <w:t>B v HMA</w:t>
      </w:r>
      <w:r w:rsidRPr="00837C20">
        <w:rPr>
          <w:rStyle w:val="FootnoteReference"/>
          <w:i/>
        </w:rPr>
        <w:footnoteReference w:id="22"/>
      </w:r>
      <w:r w:rsidRPr="00837C20">
        <w:rPr>
          <w:i/>
        </w:rPr>
        <w:t xml:space="preserve">, </w:t>
      </w:r>
      <w:r w:rsidRPr="00837C20">
        <w:t>the court held that it would expect in relation to the establishment of a “reasonable explanation” some form of evidential foundation “in the form of an affidavit or a statement from either the appellant or his former agents that the [evidence] was not known to the appellant or his legal advisers.” Where this is an issue, the Commission should take st</w:t>
      </w:r>
      <w:r w:rsidR="00463D3B">
        <w:t>atements from the appellant, their</w:t>
      </w:r>
      <w:r w:rsidRPr="00837C20">
        <w:t xml:space="preserve"> legal team or, preferably, both. </w:t>
      </w:r>
    </w:p>
    <w:p w:rsidR="00EE65B5" w:rsidRPr="00837C20" w:rsidRDefault="00EE65B5" w:rsidP="00D715C9">
      <w:pPr>
        <w:pStyle w:val="ListParagraph"/>
      </w:pPr>
      <w:r w:rsidRPr="00837C20">
        <w:t>Where the Commission has accepted a case for review, it</w:t>
      </w:r>
      <w:r w:rsidR="00597E77" w:rsidRPr="00837C20">
        <w:t xml:space="preserve"> may also choose</w:t>
      </w:r>
      <w:r w:rsidRPr="00837C20">
        <w:t xml:space="preserve"> to obtain its own signed statement or affidavit from a witness.  Where the witness is not willing to cooperate </w:t>
      </w:r>
      <w:r w:rsidR="00C27E5B" w:rsidRPr="00837C20">
        <w:t xml:space="preserve">with the Commission, the Commission </w:t>
      </w:r>
      <w:r w:rsidR="0068423E" w:rsidRPr="00837C20">
        <w:t>may seek to exercise its statutory powers under s194H of the 1995 Act.</w:t>
      </w:r>
    </w:p>
    <w:p w:rsidR="003734CD" w:rsidRPr="00837C20" w:rsidRDefault="003734CD" w:rsidP="00D715C9">
      <w:pPr>
        <w:pStyle w:val="ListParagraph"/>
      </w:pPr>
      <w:r w:rsidRPr="00837C20">
        <w:t xml:space="preserve">Where an applicant is seeking a review of conviction on the basis of </w:t>
      </w:r>
      <w:r w:rsidR="003D335A" w:rsidRPr="00837C20">
        <w:t>“</w:t>
      </w:r>
      <w:r w:rsidRPr="00837C20">
        <w:t>fresh evidence</w:t>
      </w:r>
      <w:r w:rsidR="003D335A" w:rsidRPr="00837C20">
        <w:t>”</w:t>
      </w:r>
      <w:r w:rsidR="005A332C" w:rsidRPr="00837C20">
        <w:t xml:space="preserve"> in relation to a charge to which he or she has previously pled guilty</w:t>
      </w:r>
      <w:r w:rsidR="002E0602" w:rsidRPr="00837C20">
        <w:t xml:space="preserve">, the Commission must consider whether </w:t>
      </w:r>
      <w:r w:rsidR="005A332C" w:rsidRPr="00837C20">
        <w:t xml:space="preserve">the applicant is entitled </w:t>
      </w:r>
      <w:r w:rsidR="002E0602" w:rsidRPr="00837C20">
        <w:t>to withdraw the plea</w:t>
      </w:r>
      <w:r w:rsidR="002E0602" w:rsidRPr="00837C20">
        <w:rPr>
          <w:rStyle w:val="FootnoteReference"/>
        </w:rPr>
        <w:footnoteReference w:id="23"/>
      </w:r>
      <w:r w:rsidR="002E0602" w:rsidRPr="00837C20">
        <w:t>.  For the additional considerations which apply in th</w:t>
      </w:r>
      <w:r w:rsidR="005A332C" w:rsidRPr="00837C20">
        <w:t>e</w:t>
      </w:r>
      <w:r w:rsidR="002E0602" w:rsidRPr="00837C20">
        <w:t>se case</w:t>
      </w:r>
      <w:r w:rsidR="00EA3AB7" w:rsidRPr="00837C20">
        <w:t>s, please see the Commission’s position p</w:t>
      </w:r>
      <w:r w:rsidR="002E0602" w:rsidRPr="00837C20">
        <w:t>aper on the withdrawal of pleas of guilty.</w:t>
      </w:r>
    </w:p>
    <w:p w:rsidR="00DF3859" w:rsidRDefault="00DF3859" w:rsidP="00D715C9">
      <w:pPr>
        <w:pStyle w:val="ListParagraph"/>
      </w:pPr>
      <w:r w:rsidRPr="00837C20">
        <w:lastRenderedPageBreak/>
        <w:t>Whilst it would be possible to analyse cases in which the Crown has failed to disclose material to the defence as questions of “fresh evidence”, there is a separate body of law that pertains in this situation. It is thus the Commission’s practice to consider such matters through the prism of “disclosure” rather than “fresh evidence”</w:t>
      </w:r>
      <w:r w:rsidRPr="00837C20">
        <w:rPr>
          <w:rStyle w:val="FootnoteReference"/>
        </w:rPr>
        <w:footnoteReference w:id="24"/>
      </w:r>
      <w:r w:rsidRPr="00837C20">
        <w:t>. There is further discussion of the law on disclosure in the Commission’s position paper on the subject.</w:t>
      </w:r>
    </w:p>
    <w:p w:rsidR="006A0FF2" w:rsidRPr="006A0FF2" w:rsidRDefault="006A0FF2" w:rsidP="00D715C9">
      <w:pPr>
        <w:pStyle w:val="ListParagraph"/>
      </w:pPr>
      <w:r w:rsidRPr="006A0FF2">
        <w:t>One increasingly common theme in fresh evidence applications is the content of social media postings that the complainer (or another key witness) has made post-trial (or which, at least, have been discovered at that stage.) In this regard, the decision of the court in RC v HMA</w:t>
      </w:r>
      <w:r>
        <w:rPr>
          <w:rStyle w:val="FootnoteReference"/>
        </w:rPr>
        <w:footnoteReference w:id="25"/>
      </w:r>
      <w:r w:rsidR="001C1301">
        <w:t>, which concerned such supposedly inconsistent postings,</w:t>
      </w:r>
      <w:r w:rsidRPr="006A0FF2">
        <w:t xml:space="preserve"> may be of some interest. It is important in these cases to bear in mind that a witness’s social media “persona” is a construct that</w:t>
      </w:r>
      <w:r w:rsidR="00463D3B">
        <w:t xml:space="preserve"> may bear little relation to their</w:t>
      </w:r>
      <w:r w:rsidRPr="006A0FF2">
        <w:t xml:space="preserve"> lived reality.</w:t>
      </w:r>
    </w:p>
    <w:p w:rsidR="00125005" w:rsidRPr="006A0FF2" w:rsidRDefault="00DC547E" w:rsidP="00885DFA">
      <w:pPr>
        <w:spacing w:before="120" w:after="120" w:line="240" w:lineRule="auto"/>
        <w:jc w:val="both"/>
        <w:rPr>
          <w:rFonts w:ascii="FS Albert" w:hAnsi="FS Albert"/>
          <w:b/>
          <w:color w:val="194062"/>
          <w:sz w:val="24"/>
          <w:szCs w:val="24"/>
        </w:rPr>
      </w:pPr>
      <w:r w:rsidRPr="006A0FF2">
        <w:rPr>
          <w:rFonts w:ascii="FS Albert" w:hAnsi="FS Albert"/>
          <w:b/>
          <w:color w:val="194062"/>
          <w:sz w:val="24"/>
          <w:szCs w:val="24"/>
        </w:rPr>
        <w:t xml:space="preserve">Date of Approval: </w:t>
      </w:r>
      <w:r w:rsidR="00463D3B">
        <w:rPr>
          <w:rFonts w:ascii="FS Albert" w:hAnsi="FS Albert"/>
          <w:color w:val="194062"/>
          <w:sz w:val="24"/>
          <w:szCs w:val="24"/>
        </w:rPr>
        <w:t>December 2020</w:t>
      </w:r>
    </w:p>
    <w:p w:rsidR="00DC547E" w:rsidRPr="006A0FF2" w:rsidRDefault="00DC547E" w:rsidP="00885DFA">
      <w:pPr>
        <w:spacing w:before="120" w:after="120" w:line="240" w:lineRule="auto"/>
        <w:jc w:val="both"/>
        <w:rPr>
          <w:rFonts w:ascii="FS Albert" w:hAnsi="FS Albert"/>
          <w:color w:val="194062"/>
          <w:sz w:val="24"/>
          <w:szCs w:val="24"/>
        </w:rPr>
      </w:pPr>
      <w:r w:rsidRPr="006A0FF2">
        <w:rPr>
          <w:rFonts w:ascii="FS Albert" w:hAnsi="FS Albert"/>
          <w:b/>
          <w:color w:val="194062"/>
          <w:sz w:val="24"/>
          <w:szCs w:val="24"/>
        </w:rPr>
        <w:t xml:space="preserve">Date of Review: </w:t>
      </w:r>
      <w:r w:rsidR="00463D3B">
        <w:rPr>
          <w:rFonts w:ascii="FS Albert" w:hAnsi="FS Albert"/>
          <w:color w:val="194062"/>
          <w:sz w:val="24"/>
          <w:szCs w:val="24"/>
        </w:rPr>
        <w:t>December 2021</w:t>
      </w:r>
    </w:p>
    <w:p w:rsidR="003740B5" w:rsidRPr="00271C41" w:rsidRDefault="003740B5" w:rsidP="00271C41">
      <w:pPr>
        <w:rPr>
          <w:rFonts w:ascii="FS Albert" w:hAnsi="FS Albert"/>
          <w:sz w:val="24"/>
          <w:szCs w:val="24"/>
        </w:rPr>
      </w:pPr>
    </w:p>
    <w:sectPr w:rsidR="003740B5" w:rsidRPr="00271C41" w:rsidSect="00125005">
      <w:pgSz w:w="11906" w:h="16838"/>
      <w:pgMar w:top="1440" w:right="1440" w:bottom="1276" w:left="1440"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CB1E74" w:rsidRDefault="00CB1E74" w:rsidP="00F76565">
      <w:pPr>
        <w:spacing w:after="0" w:line="240" w:lineRule="auto"/>
      </w:pPr>
      <w:r>
        <w:separator/>
      </w:r>
    </w:p>
  </w:endnote>
  <w:endnote w:type="continuationSeparator" w:id="0">
    <w:p w:rsidR="00CB1E74" w:rsidRDefault="00CB1E74" w:rsidP="00F76565">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FS Albert">
    <w:panose1 w:val="02000000040000020004"/>
    <w:charset w:val="00"/>
    <w:family w:val="auto"/>
    <w:pitch w:val="variable"/>
    <w:sig w:usb0="A000006F" w:usb1="5000204A" w:usb2="00000000" w:usb3="00000000" w:csb0="00000093"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FS Albert Light">
    <w:panose1 w:val="02000000040000020004"/>
    <w:charset w:val="00"/>
    <w:family w:val="auto"/>
    <w:pitch w:val="variable"/>
    <w:sig w:usb0="A000006F" w:usb1="5000204A" w:usb2="00000000" w:usb3="00000000" w:csb0="00000093" w:csb1="00000000"/>
  </w:font>
  <w:font w:name="FS Albert ExtraBold">
    <w:panose1 w:val="02000000040000020004"/>
    <w:charset w:val="00"/>
    <w:family w:val="auto"/>
    <w:pitch w:val="variable"/>
    <w:sig w:usb0="A000006F" w:usb1="5000204A" w:usb2="00000000" w:usb3="00000000" w:csb0="00000093"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463D3B" w:rsidRDefault="00463D3B">
    <w:pPr>
      <w:pStyle w:val="Footer"/>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1859418291"/>
      <w:docPartObj>
        <w:docPartGallery w:val="Page Numbers (Bottom of Page)"/>
        <w:docPartUnique/>
      </w:docPartObj>
    </w:sdtPr>
    <w:sdtEndPr>
      <w:rPr>
        <w:noProof/>
      </w:rPr>
    </w:sdtEndPr>
    <w:sdtContent>
      <w:p w:rsidR="00597E77" w:rsidRDefault="00597E77">
        <w:pPr>
          <w:pStyle w:val="Footer"/>
          <w:jc w:val="right"/>
        </w:pPr>
        <w:r>
          <w:fldChar w:fldCharType="begin"/>
        </w:r>
        <w:r>
          <w:instrText xml:space="preserve"> PAGE   \* MERGEFORMAT </w:instrText>
        </w:r>
        <w:r>
          <w:fldChar w:fldCharType="separate"/>
        </w:r>
        <w:r w:rsidR="00FB7A9C">
          <w:rPr>
            <w:noProof/>
          </w:rPr>
          <w:t>9</w:t>
        </w:r>
        <w:r>
          <w:rPr>
            <w:noProof/>
          </w:rPr>
          <w:fldChar w:fldCharType="end"/>
        </w:r>
      </w:p>
    </w:sdtContent>
  </w:sdt>
  <w:p w:rsidR="00597E77" w:rsidRDefault="00597E77">
    <w:pPr>
      <w:pStyle w:val="Footer"/>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463D3B" w:rsidRDefault="00463D3B">
    <w:pPr>
      <w:pStyle w:val="Foote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CB1E74" w:rsidRDefault="00CB1E74" w:rsidP="00F76565">
      <w:pPr>
        <w:spacing w:after="0" w:line="240" w:lineRule="auto"/>
      </w:pPr>
      <w:r>
        <w:separator/>
      </w:r>
    </w:p>
  </w:footnote>
  <w:footnote w:type="continuationSeparator" w:id="0">
    <w:p w:rsidR="00CB1E74" w:rsidRDefault="00CB1E74" w:rsidP="00F76565">
      <w:pPr>
        <w:spacing w:after="0" w:line="240" w:lineRule="auto"/>
      </w:pPr>
      <w:r>
        <w:continuationSeparator/>
      </w:r>
    </w:p>
  </w:footnote>
  <w:footnote w:id="1">
    <w:p w:rsidR="00597E77" w:rsidRPr="00463D3B" w:rsidRDefault="00597E77">
      <w:pPr>
        <w:pStyle w:val="FootnoteText"/>
        <w:rPr>
          <w:rFonts w:ascii="FS Albert" w:hAnsi="FS Albert"/>
          <w:color w:val="D60D52"/>
        </w:rPr>
      </w:pPr>
      <w:r w:rsidRPr="00463D3B">
        <w:rPr>
          <w:rStyle w:val="FootnoteReference"/>
          <w:color w:val="D60D52"/>
        </w:rPr>
        <w:footnoteRef/>
      </w:r>
      <w:r w:rsidRPr="00463D3B">
        <w:rPr>
          <w:rFonts w:ascii="FS Albert" w:hAnsi="FS Albert"/>
          <w:color w:val="D60D52"/>
        </w:rPr>
        <w:t xml:space="preserve"> </w:t>
      </w:r>
      <w:r w:rsidRPr="00463D3B">
        <w:rPr>
          <w:rFonts w:ascii="FS Albert" w:hAnsi="FS Albert"/>
          <w:i/>
          <w:color w:val="D60D52"/>
        </w:rPr>
        <w:t>Gallacher v HMA</w:t>
      </w:r>
      <w:r w:rsidRPr="00463D3B">
        <w:rPr>
          <w:rFonts w:ascii="FS Albert" w:hAnsi="FS Albert"/>
          <w:color w:val="D60D52"/>
        </w:rPr>
        <w:t xml:space="preserve"> 1951 JC 38, at page 48</w:t>
      </w:r>
    </w:p>
  </w:footnote>
  <w:footnote w:id="2">
    <w:p w:rsidR="00600CC5" w:rsidRPr="00463D3B" w:rsidRDefault="00600CC5">
      <w:pPr>
        <w:pStyle w:val="FootnoteText"/>
        <w:rPr>
          <w:color w:val="D60D52"/>
        </w:rPr>
      </w:pPr>
      <w:r w:rsidRPr="00463D3B">
        <w:rPr>
          <w:rStyle w:val="FootnoteReference"/>
          <w:color w:val="D60D52"/>
        </w:rPr>
        <w:footnoteRef/>
      </w:r>
      <w:r w:rsidRPr="00463D3B">
        <w:rPr>
          <w:color w:val="D60D52"/>
        </w:rPr>
        <w:t xml:space="preserve"> </w:t>
      </w:r>
      <w:r w:rsidRPr="00463D3B">
        <w:rPr>
          <w:rFonts w:ascii="FS Albert" w:hAnsi="FS Albert"/>
          <w:i/>
          <w:color w:val="D60D52"/>
        </w:rPr>
        <w:t xml:space="preserve">Criminal Appeals and Alleged Miscarriages of justice, </w:t>
      </w:r>
      <w:r w:rsidRPr="00463D3B">
        <w:rPr>
          <w:rFonts w:ascii="FS Albert" w:hAnsi="FS Albert"/>
          <w:color w:val="D60D52"/>
        </w:rPr>
        <w:t>Cmnd 3245</w:t>
      </w:r>
    </w:p>
  </w:footnote>
  <w:footnote w:id="3">
    <w:p w:rsidR="00597E77" w:rsidRPr="00463D3B" w:rsidRDefault="00597E77">
      <w:pPr>
        <w:pStyle w:val="FootnoteText"/>
        <w:rPr>
          <w:color w:val="D60D52"/>
        </w:rPr>
      </w:pPr>
      <w:r w:rsidRPr="00463D3B">
        <w:rPr>
          <w:rStyle w:val="FootnoteReference"/>
          <w:color w:val="D60D52"/>
        </w:rPr>
        <w:footnoteRef/>
      </w:r>
      <w:r w:rsidRPr="00463D3B">
        <w:rPr>
          <w:rFonts w:ascii="FS Albert" w:hAnsi="FS Albert"/>
          <w:color w:val="D60D52"/>
        </w:rPr>
        <w:t xml:space="preserve"> </w:t>
      </w:r>
      <w:r w:rsidR="008B13E8" w:rsidRPr="00463D3B">
        <w:rPr>
          <w:rFonts w:ascii="FS Albert" w:hAnsi="FS Albert"/>
          <w:color w:val="D60D52"/>
        </w:rPr>
        <w:t>201</w:t>
      </w:r>
      <w:r w:rsidR="008B242E" w:rsidRPr="00463D3B">
        <w:rPr>
          <w:rFonts w:ascii="FS Albert" w:hAnsi="FS Albert"/>
          <w:color w:val="D60D52"/>
        </w:rPr>
        <w:t>8-19</w:t>
      </w:r>
      <w:r w:rsidR="008B13E8" w:rsidRPr="00463D3B">
        <w:rPr>
          <w:rFonts w:ascii="FS Albert" w:hAnsi="FS Albert"/>
          <w:color w:val="D60D52"/>
        </w:rPr>
        <w:t xml:space="preserve"> Annual Report at page </w:t>
      </w:r>
      <w:r w:rsidR="008B242E" w:rsidRPr="00463D3B">
        <w:rPr>
          <w:rFonts w:ascii="FS Albert" w:hAnsi="FS Albert"/>
          <w:color w:val="D60D52"/>
        </w:rPr>
        <w:t>25</w:t>
      </w:r>
    </w:p>
  </w:footnote>
  <w:footnote w:id="4">
    <w:p w:rsidR="00597E77" w:rsidRPr="008B1F04" w:rsidRDefault="00597E77">
      <w:pPr>
        <w:pStyle w:val="FootnoteText"/>
        <w:rPr>
          <w:rFonts w:ascii="FS Albert" w:hAnsi="FS Albert"/>
        </w:rPr>
      </w:pPr>
      <w:r w:rsidRPr="00463D3B">
        <w:rPr>
          <w:rStyle w:val="FootnoteReference"/>
          <w:rFonts w:ascii="FS Albert" w:hAnsi="FS Albert"/>
          <w:color w:val="D60D52"/>
        </w:rPr>
        <w:footnoteRef/>
      </w:r>
      <w:r w:rsidRPr="00463D3B">
        <w:rPr>
          <w:rFonts w:ascii="FS Albert" w:hAnsi="FS Albert"/>
          <w:color w:val="D60D52"/>
        </w:rPr>
        <w:t xml:space="preserve"> </w:t>
      </w:r>
      <w:r w:rsidRPr="00463D3B">
        <w:rPr>
          <w:rFonts w:ascii="FS Albert" w:hAnsi="FS Albert"/>
          <w:i/>
          <w:color w:val="D60D52"/>
        </w:rPr>
        <w:t>Campbell v HMA</w:t>
      </w:r>
      <w:r w:rsidRPr="00463D3B">
        <w:rPr>
          <w:rFonts w:ascii="FS Albert" w:hAnsi="FS Albert"/>
          <w:color w:val="D60D52"/>
        </w:rPr>
        <w:t xml:space="preserve"> 2004 SCCR 220</w:t>
      </w:r>
    </w:p>
  </w:footnote>
  <w:footnote w:id="5">
    <w:p w:rsidR="002B2763" w:rsidRPr="00463D3B" w:rsidRDefault="002B2763">
      <w:pPr>
        <w:pStyle w:val="FootnoteText"/>
        <w:rPr>
          <w:color w:val="D60D52"/>
        </w:rPr>
      </w:pPr>
      <w:r w:rsidRPr="00463D3B">
        <w:rPr>
          <w:rStyle w:val="FootnoteReference"/>
          <w:color w:val="D60D52"/>
        </w:rPr>
        <w:footnoteRef/>
      </w:r>
      <w:r w:rsidRPr="00463D3B">
        <w:rPr>
          <w:color w:val="D60D52"/>
        </w:rPr>
        <w:t xml:space="preserve"> </w:t>
      </w:r>
      <w:r w:rsidRPr="00463D3B">
        <w:rPr>
          <w:i/>
          <w:color w:val="D60D52"/>
        </w:rPr>
        <w:t xml:space="preserve">Gilmour v HMA </w:t>
      </w:r>
      <w:r w:rsidRPr="00463D3B">
        <w:rPr>
          <w:color w:val="D60D52"/>
        </w:rPr>
        <w:t xml:space="preserve">2007 SCCR 417, </w:t>
      </w:r>
      <w:r w:rsidRPr="00463D3B">
        <w:rPr>
          <w:i/>
          <w:color w:val="D60D52"/>
        </w:rPr>
        <w:t xml:space="preserve">George Beattie </w:t>
      </w:r>
      <w:r w:rsidRPr="00463D3B">
        <w:rPr>
          <w:color w:val="D60D52"/>
        </w:rPr>
        <w:t xml:space="preserve">2009 SCCR 446 &amp; </w:t>
      </w:r>
      <w:r w:rsidRPr="00463D3B">
        <w:rPr>
          <w:i/>
          <w:color w:val="D60D52"/>
        </w:rPr>
        <w:t xml:space="preserve">Wilson v HMA </w:t>
      </w:r>
      <w:r w:rsidRPr="00463D3B">
        <w:rPr>
          <w:color w:val="D60D52"/>
        </w:rPr>
        <w:t>2009 SCCR 666</w:t>
      </w:r>
    </w:p>
  </w:footnote>
  <w:footnote w:id="6">
    <w:p w:rsidR="002B2763" w:rsidRPr="00463D3B" w:rsidRDefault="002B2763">
      <w:pPr>
        <w:pStyle w:val="FootnoteText"/>
        <w:rPr>
          <w:color w:val="D60D52"/>
        </w:rPr>
      </w:pPr>
      <w:r w:rsidRPr="00463D3B">
        <w:rPr>
          <w:rStyle w:val="FootnoteReference"/>
          <w:color w:val="D60D52"/>
        </w:rPr>
        <w:footnoteRef/>
      </w:r>
      <w:r w:rsidRPr="00463D3B">
        <w:rPr>
          <w:color w:val="D60D52"/>
        </w:rPr>
        <w:t xml:space="preserve"> </w:t>
      </w:r>
      <w:r w:rsidRPr="00463D3B">
        <w:rPr>
          <w:i/>
          <w:color w:val="D60D52"/>
        </w:rPr>
        <w:t>Kelly v HMA</w:t>
      </w:r>
      <w:r w:rsidRPr="00463D3B">
        <w:rPr>
          <w:color w:val="D60D52"/>
        </w:rPr>
        <w:t>, unreported (appeal allowed), 6 August 2004</w:t>
      </w:r>
    </w:p>
  </w:footnote>
  <w:footnote w:id="7">
    <w:p w:rsidR="002B2763" w:rsidRPr="00463D3B" w:rsidRDefault="002B2763">
      <w:pPr>
        <w:pStyle w:val="FootnoteText"/>
        <w:rPr>
          <w:color w:val="D60D52"/>
        </w:rPr>
      </w:pPr>
      <w:r w:rsidRPr="00463D3B">
        <w:rPr>
          <w:rStyle w:val="FootnoteReference"/>
          <w:color w:val="D60D52"/>
        </w:rPr>
        <w:footnoteRef/>
      </w:r>
      <w:r w:rsidRPr="00463D3B">
        <w:rPr>
          <w:color w:val="D60D52"/>
        </w:rPr>
        <w:t xml:space="preserve"> </w:t>
      </w:r>
      <w:r w:rsidR="00AF2F70" w:rsidRPr="00463D3B">
        <w:rPr>
          <w:i/>
          <w:color w:val="D60D52"/>
        </w:rPr>
        <w:t>McIntyre v HMA</w:t>
      </w:r>
      <w:r w:rsidR="007211EB" w:rsidRPr="00463D3B">
        <w:rPr>
          <w:i/>
          <w:color w:val="D60D52"/>
        </w:rPr>
        <w:t xml:space="preserve">, </w:t>
      </w:r>
      <w:r w:rsidR="007211EB" w:rsidRPr="00463D3B">
        <w:rPr>
          <w:color w:val="D60D52"/>
        </w:rPr>
        <w:t>unreported (appeal allowed), 12 April 2012</w:t>
      </w:r>
      <w:r w:rsidR="00AF2F70" w:rsidRPr="00463D3B">
        <w:rPr>
          <w:color w:val="D60D52"/>
        </w:rPr>
        <w:t xml:space="preserve"> </w:t>
      </w:r>
    </w:p>
  </w:footnote>
  <w:footnote w:id="8">
    <w:p w:rsidR="007211EB" w:rsidRPr="00463D3B" w:rsidRDefault="007211EB">
      <w:pPr>
        <w:pStyle w:val="FootnoteText"/>
        <w:rPr>
          <w:color w:val="D60D52"/>
        </w:rPr>
      </w:pPr>
      <w:r w:rsidRPr="00463D3B">
        <w:rPr>
          <w:rStyle w:val="FootnoteReference"/>
          <w:color w:val="D60D52"/>
        </w:rPr>
        <w:footnoteRef/>
      </w:r>
      <w:r w:rsidRPr="00463D3B">
        <w:rPr>
          <w:color w:val="D60D52"/>
        </w:rPr>
        <w:t xml:space="preserve"> </w:t>
      </w:r>
      <w:r w:rsidRPr="00463D3B">
        <w:rPr>
          <w:i/>
          <w:color w:val="D60D52"/>
        </w:rPr>
        <w:t xml:space="preserve">Liehne v HMA </w:t>
      </w:r>
      <w:r w:rsidRPr="00463D3B">
        <w:rPr>
          <w:color w:val="D60D52"/>
        </w:rPr>
        <w:t>2011 SCCR 419</w:t>
      </w:r>
    </w:p>
  </w:footnote>
  <w:footnote w:id="9">
    <w:p w:rsidR="007211EB" w:rsidRPr="00463D3B" w:rsidRDefault="007211EB">
      <w:pPr>
        <w:pStyle w:val="FootnoteText"/>
        <w:rPr>
          <w:color w:val="D60D52"/>
        </w:rPr>
      </w:pPr>
      <w:r w:rsidRPr="00463D3B">
        <w:rPr>
          <w:rStyle w:val="FootnoteReference"/>
          <w:color w:val="D60D52"/>
        </w:rPr>
        <w:footnoteRef/>
      </w:r>
      <w:r w:rsidRPr="00463D3B">
        <w:rPr>
          <w:color w:val="D60D52"/>
        </w:rPr>
        <w:t xml:space="preserve"> </w:t>
      </w:r>
      <w:r w:rsidRPr="00463D3B">
        <w:rPr>
          <w:i/>
          <w:color w:val="D60D52"/>
        </w:rPr>
        <w:t xml:space="preserve">Graham v HMA </w:t>
      </w:r>
      <w:r w:rsidRPr="00463D3B">
        <w:rPr>
          <w:color w:val="D60D52"/>
        </w:rPr>
        <w:t>2018 SCCR 347</w:t>
      </w:r>
    </w:p>
  </w:footnote>
  <w:footnote w:id="10">
    <w:p w:rsidR="00597E77" w:rsidRPr="00463D3B" w:rsidRDefault="00597E77">
      <w:pPr>
        <w:pStyle w:val="FootnoteText"/>
        <w:rPr>
          <w:rFonts w:ascii="FS Albert" w:hAnsi="FS Albert"/>
          <w:color w:val="D60D52"/>
        </w:rPr>
      </w:pPr>
      <w:r w:rsidRPr="00463D3B">
        <w:rPr>
          <w:rStyle w:val="FootnoteReference"/>
          <w:rFonts w:ascii="FS Albert" w:hAnsi="FS Albert"/>
          <w:color w:val="D60D52"/>
        </w:rPr>
        <w:footnoteRef/>
      </w:r>
      <w:r w:rsidRPr="00463D3B">
        <w:rPr>
          <w:rFonts w:ascii="FS Albert" w:hAnsi="FS Albert"/>
          <w:color w:val="D60D52"/>
        </w:rPr>
        <w:t xml:space="preserve"> All references to the 1995 Act in this section refer to appeals under solemn procedure.  Similar provisions in relation to summary procedure can be found at </w:t>
      </w:r>
      <w:r w:rsidR="000B3FB5" w:rsidRPr="00463D3B">
        <w:rPr>
          <w:rFonts w:ascii="FS Albert" w:hAnsi="FS Albert"/>
          <w:color w:val="D60D52"/>
        </w:rPr>
        <w:t>s</w:t>
      </w:r>
      <w:r w:rsidRPr="00463D3B">
        <w:rPr>
          <w:rFonts w:ascii="FS Albert" w:hAnsi="FS Albert"/>
          <w:color w:val="D60D52"/>
        </w:rPr>
        <w:t>ection 175(5) of the 1995 Act.</w:t>
      </w:r>
    </w:p>
  </w:footnote>
  <w:footnote w:id="11">
    <w:p w:rsidR="00B213AB" w:rsidRDefault="00B213AB">
      <w:pPr>
        <w:pStyle w:val="FootnoteText"/>
      </w:pPr>
      <w:r w:rsidRPr="00463D3B">
        <w:rPr>
          <w:rStyle w:val="FootnoteReference"/>
          <w:color w:val="D60D52"/>
        </w:rPr>
        <w:footnoteRef/>
      </w:r>
      <w:r w:rsidRPr="00463D3B">
        <w:rPr>
          <w:color w:val="D60D52"/>
        </w:rPr>
        <w:t xml:space="preserve"> 2015 SCL 706</w:t>
      </w:r>
    </w:p>
  </w:footnote>
  <w:footnote w:id="12">
    <w:p w:rsidR="003734CD" w:rsidRPr="00463D3B" w:rsidRDefault="003734CD">
      <w:pPr>
        <w:pStyle w:val="FootnoteText"/>
        <w:rPr>
          <w:rFonts w:ascii="FS Albert" w:hAnsi="FS Albert"/>
          <w:color w:val="D60D52"/>
        </w:rPr>
      </w:pPr>
      <w:r w:rsidRPr="00463D3B">
        <w:rPr>
          <w:rStyle w:val="FootnoteReference"/>
          <w:color w:val="D60D52"/>
        </w:rPr>
        <w:footnoteRef/>
      </w:r>
      <w:r w:rsidRPr="00463D3B">
        <w:rPr>
          <w:color w:val="D60D52"/>
        </w:rPr>
        <w:t xml:space="preserve"> </w:t>
      </w:r>
      <w:r w:rsidRPr="00463D3B">
        <w:rPr>
          <w:rFonts w:ascii="FS Albert" w:hAnsi="FS Albert"/>
          <w:i/>
          <w:color w:val="D60D52"/>
        </w:rPr>
        <w:t xml:space="preserve">Young v HMA </w:t>
      </w:r>
      <w:r w:rsidRPr="00463D3B">
        <w:rPr>
          <w:rFonts w:ascii="FS Albert" w:hAnsi="FS Albert"/>
          <w:color w:val="D60D52"/>
        </w:rPr>
        <w:t>2013 HCJAC 145</w:t>
      </w:r>
    </w:p>
  </w:footnote>
  <w:footnote w:id="13">
    <w:p w:rsidR="00926A6D" w:rsidRPr="00463D3B" w:rsidRDefault="00926A6D">
      <w:pPr>
        <w:pStyle w:val="FootnoteText"/>
        <w:rPr>
          <w:color w:val="D60D52"/>
        </w:rPr>
      </w:pPr>
      <w:r w:rsidRPr="00463D3B">
        <w:rPr>
          <w:rStyle w:val="FootnoteReference"/>
          <w:color w:val="D60D52"/>
        </w:rPr>
        <w:footnoteRef/>
      </w:r>
      <w:r w:rsidRPr="00463D3B">
        <w:rPr>
          <w:color w:val="D60D52"/>
        </w:rPr>
        <w:t xml:space="preserve"> 1998 SCCR 214</w:t>
      </w:r>
    </w:p>
  </w:footnote>
  <w:footnote w:id="14">
    <w:p w:rsidR="0044439F" w:rsidRDefault="0044439F">
      <w:pPr>
        <w:pStyle w:val="FootnoteText"/>
      </w:pPr>
      <w:r w:rsidRPr="00463D3B">
        <w:rPr>
          <w:rStyle w:val="FootnoteReference"/>
          <w:color w:val="D60D52"/>
        </w:rPr>
        <w:footnoteRef/>
      </w:r>
      <w:r w:rsidRPr="00463D3B">
        <w:rPr>
          <w:color w:val="D60D52"/>
        </w:rPr>
        <w:t xml:space="preserve"> 2017 SCCR 376</w:t>
      </w:r>
    </w:p>
  </w:footnote>
  <w:footnote w:id="15">
    <w:p w:rsidR="00926A6D" w:rsidRPr="00463D3B" w:rsidRDefault="00926A6D">
      <w:pPr>
        <w:pStyle w:val="FootnoteText"/>
        <w:rPr>
          <w:i/>
          <w:color w:val="D60D52"/>
        </w:rPr>
      </w:pPr>
      <w:r w:rsidRPr="00463D3B">
        <w:rPr>
          <w:rStyle w:val="FootnoteReference"/>
          <w:color w:val="D60D52"/>
        </w:rPr>
        <w:footnoteRef/>
      </w:r>
      <w:r w:rsidRPr="00463D3B">
        <w:rPr>
          <w:color w:val="D60D52"/>
        </w:rPr>
        <w:t xml:space="preserve"> See also </w:t>
      </w:r>
      <w:r w:rsidRPr="00463D3B">
        <w:rPr>
          <w:i/>
          <w:color w:val="D60D52"/>
        </w:rPr>
        <w:t xml:space="preserve">Cameron v HMA (No 2) </w:t>
      </w:r>
      <w:r w:rsidRPr="00463D3B">
        <w:rPr>
          <w:color w:val="D60D52"/>
        </w:rPr>
        <w:t>2008 SCCR 748</w:t>
      </w:r>
      <w:r w:rsidRPr="00463D3B">
        <w:rPr>
          <w:i/>
          <w:color w:val="D60D52"/>
        </w:rPr>
        <w:t xml:space="preserve"> </w:t>
      </w:r>
    </w:p>
  </w:footnote>
  <w:footnote w:id="16">
    <w:p w:rsidR="00597E77" w:rsidRPr="008B1F04" w:rsidRDefault="00597E77">
      <w:pPr>
        <w:pStyle w:val="FootnoteText"/>
        <w:rPr>
          <w:rFonts w:ascii="FS Albert" w:hAnsi="FS Albert"/>
        </w:rPr>
      </w:pPr>
      <w:r w:rsidRPr="00463D3B">
        <w:rPr>
          <w:rStyle w:val="FootnoteReference"/>
          <w:rFonts w:ascii="FS Albert" w:hAnsi="FS Albert"/>
          <w:color w:val="D60D52"/>
        </w:rPr>
        <w:footnoteRef/>
      </w:r>
      <w:r w:rsidRPr="00463D3B">
        <w:rPr>
          <w:rFonts w:ascii="FS Albert" w:hAnsi="FS Albert"/>
          <w:i/>
          <w:color w:val="D60D52"/>
        </w:rPr>
        <w:t xml:space="preserve"> </w:t>
      </w:r>
      <w:r w:rsidRPr="00463D3B">
        <w:rPr>
          <w:rFonts w:ascii="FS Albert" w:hAnsi="FS Albert"/>
          <w:color w:val="D60D52"/>
        </w:rPr>
        <w:t>2002 SCCR 509, at page 585</w:t>
      </w:r>
    </w:p>
  </w:footnote>
  <w:footnote w:id="17">
    <w:p w:rsidR="00597E77" w:rsidRPr="00463D3B" w:rsidRDefault="00597E77">
      <w:pPr>
        <w:pStyle w:val="FootnoteText"/>
        <w:rPr>
          <w:rFonts w:ascii="FS Albert" w:hAnsi="FS Albert"/>
          <w:i/>
          <w:color w:val="D60D52"/>
        </w:rPr>
      </w:pPr>
      <w:r w:rsidRPr="00463D3B">
        <w:rPr>
          <w:rStyle w:val="FootnoteReference"/>
          <w:rFonts w:ascii="FS Albert" w:hAnsi="FS Albert"/>
          <w:color w:val="D60D52"/>
        </w:rPr>
        <w:footnoteRef/>
      </w:r>
      <w:r w:rsidRPr="00463D3B">
        <w:rPr>
          <w:color w:val="D60D52"/>
        </w:rPr>
        <w:t xml:space="preserve"> </w:t>
      </w:r>
      <w:r w:rsidRPr="00463D3B">
        <w:rPr>
          <w:rFonts w:ascii="FS Albert" w:hAnsi="FS Albert"/>
          <w:i/>
          <w:color w:val="D60D52"/>
        </w:rPr>
        <w:t>Al Megrahi v HMA</w:t>
      </w:r>
      <w:r w:rsidR="00DC3E17">
        <w:rPr>
          <w:rFonts w:ascii="FS Albert" w:hAnsi="FS Albert"/>
          <w:i/>
          <w:color w:val="D60D52"/>
        </w:rPr>
        <w:t xml:space="preserve"> </w:t>
      </w:r>
      <w:r w:rsidR="00DC3E17" w:rsidRPr="00DC3E17">
        <w:rPr>
          <w:rFonts w:ascii="FS Albert" w:hAnsi="FS Albert"/>
          <w:color w:val="D60D52"/>
        </w:rPr>
        <w:t>at paragraph 252</w:t>
      </w:r>
    </w:p>
  </w:footnote>
  <w:footnote w:id="18">
    <w:p w:rsidR="00597E77" w:rsidRPr="00463D3B" w:rsidRDefault="00597E77">
      <w:pPr>
        <w:pStyle w:val="FootnoteText"/>
        <w:rPr>
          <w:color w:val="D60D52"/>
        </w:rPr>
      </w:pPr>
      <w:r w:rsidRPr="00463D3B">
        <w:rPr>
          <w:rStyle w:val="FootnoteReference"/>
          <w:rFonts w:ascii="FS Albert" w:hAnsi="FS Albert"/>
          <w:color w:val="D60D52"/>
        </w:rPr>
        <w:footnoteRef/>
      </w:r>
      <w:r w:rsidRPr="00463D3B">
        <w:rPr>
          <w:rFonts w:ascii="FS Albert" w:hAnsi="FS Albert"/>
          <w:color w:val="D60D52"/>
        </w:rPr>
        <w:t xml:space="preserve"> </w:t>
      </w:r>
      <w:r w:rsidRPr="00463D3B">
        <w:rPr>
          <w:rFonts w:ascii="FS Albert" w:hAnsi="FS Albert"/>
          <w:i/>
          <w:color w:val="D60D52"/>
        </w:rPr>
        <w:t>Fraser v HMA</w:t>
      </w:r>
      <w:r w:rsidRPr="00463D3B">
        <w:rPr>
          <w:rFonts w:ascii="FS Albert" w:hAnsi="FS Albert"/>
          <w:color w:val="D60D52"/>
        </w:rPr>
        <w:t xml:space="preserve"> 2008 SCCR 407</w:t>
      </w:r>
    </w:p>
  </w:footnote>
  <w:footnote w:id="19">
    <w:p w:rsidR="003041ED" w:rsidRPr="00463D3B" w:rsidRDefault="003041ED">
      <w:pPr>
        <w:pStyle w:val="FootnoteText"/>
        <w:rPr>
          <w:color w:val="D60D52"/>
        </w:rPr>
      </w:pPr>
      <w:r w:rsidRPr="00463D3B">
        <w:rPr>
          <w:rStyle w:val="FootnoteReference"/>
          <w:color w:val="D60D52"/>
        </w:rPr>
        <w:footnoteRef/>
      </w:r>
      <w:r w:rsidRPr="00463D3B">
        <w:rPr>
          <w:color w:val="D60D52"/>
        </w:rPr>
        <w:t xml:space="preserve"> At paragraph 3</w:t>
      </w:r>
    </w:p>
  </w:footnote>
  <w:footnote w:id="20">
    <w:p w:rsidR="00692421" w:rsidRPr="00692421" w:rsidRDefault="00692421">
      <w:pPr>
        <w:pStyle w:val="FootnoteText"/>
      </w:pPr>
      <w:r w:rsidRPr="00463D3B">
        <w:rPr>
          <w:rStyle w:val="FootnoteReference"/>
          <w:color w:val="D60D52"/>
        </w:rPr>
        <w:footnoteRef/>
      </w:r>
      <w:r w:rsidRPr="00463D3B">
        <w:rPr>
          <w:color w:val="D60D52"/>
        </w:rPr>
        <w:t xml:space="preserve"> 2009 SCCR 743</w:t>
      </w:r>
    </w:p>
  </w:footnote>
  <w:footnote w:id="21">
    <w:p w:rsidR="00597E77" w:rsidRPr="00463D3B" w:rsidRDefault="00597E77">
      <w:pPr>
        <w:pStyle w:val="FootnoteText"/>
        <w:rPr>
          <w:rFonts w:ascii="FS Albert" w:hAnsi="FS Albert"/>
          <w:color w:val="D60D52"/>
        </w:rPr>
      </w:pPr>
      <w:r w:rsidRPr="00463D3B">
        <w:rPr>
          <w:rStyle w:val="FootnoteReference"/>
          <w:rFonts w:ascii="FS Albert" w:hAnsi="FS Albert"/>
          <w:color w:val="D60D52"/>
        </w:rPr>
        <w:footnoteRef/>
      </w:r>
      <w:r w:rsidRPr="00463D3B">
        <w:rPr>
          <w:rFonts w:ascii="FS Albert" w:hAnsi="FS Albert"/>
          <w:color w:val="D60D52"/>
        </w:rPr>
        <w:t xml:space="preserve"> </w:t>
      </w:r>
      <w:r w:rsidRPr="00463D3B">
        <w:rPr>
          <w:rFonts w:ascii="FS Albert" w:hAnsi="FS Albert"/>
          <w:i/>
          <w:color w:val="D60D52"/>
        </w:rPr>
        <w:t>Reid v HMA</w:t>
      </w:r>
      <w:r w:rsidRPr="00463D3B">
        <w:rPr>
          <w:rFonts w:ascii="FS Albert" w:hAnsi="FS Albert"/>
          <w:color w:val="D60D52"/>
        </w:rPr>
        <w:t xml:space="preserve"> 201</w:t>
      </w:r>
      <w:r w:rsidR="00133E68" w:rsidRPr="00463D3B">
        <w:rPr>
          <w:rFonts w:ascii="FS Albert" w:hAnsi="FS Albert"/>
          <w:color w:val="D60D52"/>
        </w:rPr>
        <w:t>2 HCJAC 18</w:t>
      </w:r>
    </w:p>
  </w:footnote>
  <w:footnote w:id="22">
    <w:p w:rsidR="00171606" w:rsidRPr="00463D3B" w:rsidRDefault="00171606">
      <w:pPr>
        <w:pStyle w:val="FootnoteText"/>
        <w:rPr>
          <w:color w:val="D60D52"/>
        </w:rPr>
      </w:pPr>
      <w:r w:rsidRPr="00463D3B">
        <w:rPr>
          <w:rStyle w:val="FootnoteReference"/>
          <w:color w:val="D60D52"/>
        </w:rPr>
        <w:footnoteRef/>
      </w:r>
      <w:r w:rsidRPr="00463D3B">
        <w:rPr>
          <w:color w:val="D60D52"/>
        </w:rPr>
        <w:t xml:space="preserve"> 2014 SCCR 376 at paragraph 19</w:t>
      </w:r>
    </w:p>
  </w:footnote>
  <w:footnote w:id="23">
    <w:p w:rsidR="002E0602" w:rsidRPr="002E0602" w:rsidRDefault="002E0602">
      <w:pPr>
        <w:pStyle w:val="FootnoteText"/>
      </w:pPr>
      <w:r w:rsidRPr="00463D3B">
        <w:rPr>
          <w:rStyle w:val="FootnoteReference"/>
          <w:color w:val="D60D52"/>
        </w:rPr>
        <w:footnoteRef/>
      </w:r>
      <w:r w:rsidRPr="00463D3B">
        <w:rPr>
          <w:color w:val="D60D52"/>
        </w:rPr>
        <w:t xml:space="preserve"> </w:t>
      </w:r>
      <w:r w:rsidRPr="00463D3B">
        <w:rPr>
          <w:rFonts w:ascii="FS Albert" w:hAnsi="FS Albert"/>
          <w:i/>
          <w:color w:val="D60D52"/>
        </w:rPr>
        <w:t>Kalyanjee v HMA</w:t>
      </w:r>
      <w:r w:rsidRPr="00463D3B">
        <w:rPr>
          <w:rFonts w:ascii="FS Albert" w:hAnsi="FS Albert"/>
          <w:color w:val="D60D52"/>
        </w:rPr>
        <w:t xml:space="preserve"> 2014 </w:t>
      </w:r>
      <w:r w:rsidR="00222A4A" w:rsidRPr="00463D3B">
        <w:rPr>
          <w:rFonts w:ascii="FS Albert" w:hAnsi="FS Albert"/>
          <w:color w:val="D60D52"/>
        </w:rPr>
        <w:t>SCCR 397</w:t>
      </w:r>
    </w:p>
  </w:footnote>
  <w:footnote w:id="24">
    <w:p w:rsidR="00DF3859" w:rsidRPr="00463D3B" w:rsidRDefault="00DF3859">
      <w:pPr>
        <w:pStyle w:val="FootnoteText"/>
        <w:rPr>
          <w:color w:val="D60D52"/>
        </w:rPr>
      </w:pPr>
      <w:r w:rsidRPr="00463D3B">
        <w:rPr>
          <w:rStyle w:val="FootnoteReference"/>
          <w:color w:val="D60D52"/>
        </w:rPr>
        <w:footnoteRef/>
      </w:r>
      <w:r w:rsidRPr="00463D3B">
        <w:rPr>
          <w:color w:val="D60D52"/>
        </w:rPr>
        <w:t xml:space="preserve"> Although in relation to a</w:t>
      </w:r>
      <w:r w:rsidR="00271C41" w:rsidRPr="00463D3B">
        <w:rPr>
          <w:color w:val="D60D52"/>
        </w:rPr>
        <w:t xml:space="preserve"> marginal</w:t>
      </w:r>
      <w:r w:rsidRPr="00463D3B">
        <w:rPr>
          <w:color w:val="D60D52"/>
        </w:rPr>
        <w:t xml:space="preserve"> case, in which the police had failed to pass crucial evidence to the Crown, see the Commission referral of </w:t>
      </w:r>
      <w:r w:rsidRPr="00463D3B">
        <w:rPr>
          <w:i/>
          <w:color w:val="D60D52"/>
        </w:rPr>
        <w:t xml:space="preserve">Johnston v HMA </w:t>
      </w:r>
      <w:r w:rsidRPr="00463D3B">
        <w:rPr>
          <w:color w:val="D60D52"/>
        </w:rPr>
        <w:t>2006 SCCR 236</w:t>
      </w:r>
    </w:p>
  </w:footnote>
  <w:footnote w:id="25">
    <w:p w:rsidR="006A0FF2" w:rsidRDefault="006A0FF2">
      <w:pPr>
        <w:pStyle w:val="FootnoteText"/>
      </w:pPr>
      <w:r w:rsidRPr="00463D3B">
        <w:rPr>
          <w:rStyle w:val="FootnoteReference"/>
          <w:color w:val="D60D52"/>
        </w:rPr>
        <w:footnoteRef/>
      </w:r>
      <w:r w:rsidRPr="00463D3B">
        <w:rPr>
          <w:color w:val="D60D52"/>
        </w:rPr>
        <w:t xml:space="preserve"> 2018 JC 1</w:t>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463D3B" w:rsidRDefault="00463D3B">
    <w:pPr>
      <w:pStyle w:val="Heade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597E77" w:rsidRDefault="005B764D" w:rsidP="00A40573">
    <w:pPr>
      <w:pStyle w:val="Header"/>
      <w:jc w:val="right"/>
    </w:pPr>
    <w:r>
      <w:t xml:space="preserve">Version </w:t>
    </w:r>
    <w:r w:rsidR="00FB7A9C">
      <w:t>7</w:t>
    </w:r>
    <w:bookmarkStart w:id="0" w:name="_GoBack"/>
    <w:bookmarkEnd w:id="0"/>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463D3B" w:rsidRDefault="00463D3B">
    <w:pPr>
      <w:pStyle w:val="Heade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FFFFFF89"/>
    <w:multiLevelType w:val="singleLevel"/>
    <w:tmpl w:val="3FCCE59A"/>
    <w:lvl w:ilvl="0">
      <w:start w:val="1"/>
      <w:numFmt w:val="bullet"/>
      <w:pStyle w:val="ListBullet"/>
      <w:lvlText w:val=""/>
      <w:lvlJc w:val="left"/>
      <w:pPr>
        <w:tabs>
          <w:tab w:val="num" w:pos="360"/>
        </w:tabs>
        <w:ind w:left="360" w:hanging="360"/>
      </w:pPr>
      <w:rPr>
        <w:rFonts w:ascii="Symbol" w:hAnsi="Symbol" w:hint="default"/>
      </w:rPr>
    </w:lvl>
  </w:abstractNum>
  <w:abstractNum w:abstractNumId="1">
    <w:nsid w:val="054560C3"/>
    <w:multiLevelType w:val="singleLevel"/>
    <w:tmpl w:val="4F0AAF2E"/>
    <w:lvl w:ilvl="0">
      <w:start w:val="1"/>
      <w:numFmt w:val="decimal"/>
      <w:pStyle w:val="BlockText"/>
      <w:lvlText w:val="%1."/>
      <w:lvlJc w:val="left"/>
      <w:pPr>
        <w:tabs>
          <w:tab w:val="num" w:pos="360"/>
        </w:tabs>
        <w:ind w:left="0" w:firstLine="0"/>
      </w:pPr>
    </w:lvl>
  </w:abstractNum>
  <w:abstractNum w:abstractNumId="2">
    <w:nsid w:val="14077521"/>
    <w:multiLevelType w:val="hybridMultilevel"/>
    <w:tmpl w:val="A81E0494"/>
    <w:lvl w:ilvl="0" w:tplc="08090001">
      <w:start w:val="1"/>
      <w:numFmt w:val="bullet"/>
      <w:lvlText w:val=""/>
      <w:lvlJc w:val="left"/>
      <w:pPr>
        <w:ind w:left="720" w:hanging="360"/>
      </w:pPr>
      <w:rPr>
        <w:rFonts w:ascii="Symbol" w:hAnsi="Symbol"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
    <w:nsid w:val="1AEA39F8"/>
    <w:multiLevelType w:val="hybridMultilevel"/>
    <w:tmpl w:val="4AFE6F66"/>
    <w:lvl w:ilvl="0" w:tplc="08090001">
      <w:start w:val="1"/>
      <w:numFmt w:val="bullet"/>
      <w:lvlText w:val=""/>
      <w:lvlJc w:val="left"/>
      <w:pPr>
        <w:ind w:left="720" w:hanging="360"/>
      </w:pPr>
      <w:rPr>
        <w:rFonts w:ascii="Symbol" w:hAnsi="Symbol"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4">
    <w:nsid w:val="237A288A"/>
    <w:multiLevelType w:val="hybridMultilevel"/>
    <w:tmpl w:val="7A48BF72"/>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5">
    <w:nsid w:val="4ED57825"/>
    <w:multiLevelType w:val="hybridMultilevel"/>
    <w:tmpl w:val="84123430"/>
    <w:lvl w:ilvl="0" w:tplc="265AA104">
      <w:start w:val="1"/>
      <w:numFmt w:val="decimal"/>
      <w:lvlText w:val="%1."/>
      <w:lvlJc w:val="left"/>
      <w:pPr>
        <w:ind w:left="502" w:hanging="360"/>
      </w:pPr>
      <w:rPr>
        <w:rFonts w:ascii="FS Albert" w:hAnsi="FS Albert" w:hint="default"/>
        <w:b w:val="0"/>
      </w:rPr>
    </w:lvl>
    <w:lvl w:ilvl="1" w:tplc="0809001B">
      <w:start w:val="1"/>
      <w:numFmt w:val="lowerRoman"/>
      <w:lvlText w:val="%2."/>
      <w:lvlJc w:val="right"/>
      <w:pPr>
        <w:ind w:left="1356" w:hanging="360"/>
      </w:pPr>
    </w:lvl>
    <w:lvl w:ilvl="2" w:tplc="0409001B" w:tentative="1">
      <w:start w:val="1"/>
      <w:numFmt w:val="lowerRoman"/>
      <w:lvlText w:val="%3."/>
      <w:lvlJc w:val="right"/>
      <w:pPr>
        <w:ind w:left="2076" w:hanging="180"/>
      </w:pPr>
    </w:lvl>
    <w:lvl w:ilvl="3" w:tplc="0409000F" w:tentative="1">
      <w:start w:val="1"/>
      <w:numFmt w:val="decimal"/>
      <w:lvlText w:val="%4."/>
      <w:lvlJc w:val="left"/>
      <w:pPr>
        <w:ind w:left="2796" w:hanging="360"/>
      </w:pPr>
    </w:lvl>
    <w:lvl w:ilvl="4" w:tplc="04090019" w:tentative="1">
      <w:start w:val="1"/>
      <w:numFmt w:val="lowerLetter"/>
      <w:lvlText w:val="%5."/>
      <w:lvlJc w:val="left"/>
      <w:pPr>
        <w:ind w:left="3516" w:hanging="360"/>
      </w:pPr>
    </w:lvl>
    <w:lvl w:ilvl="5" w:tplc="0409001B" w:tentative="1">
      <w:start w:val="1"/>
      <w:numFmt w:val="lowerRoman"/>
      <w:lvlText w:val="%6."/>
      <w:lvlJc w:val="right"/>
      <w:pPr>
        <w:ind w:left="4236" w:hanging="180"/>
      </w:pPr>
    </w:lvl>
    <w:lvl w:ilvl="6" w:tplc="0409000F" w:tentative="1">
      <w:start w:val="1"/>
      <w:numFmt w:val="decimal"/>
      <w:lvlText w:val="%7."/>
      <w:lvlJc w:val="left"/>
      <w:pPr>
        <w:ind w:left="4956" w:hanging="360"/>
      </w:pPr>
    </w:lvl>
    <w:lvl w:ilvl="7" w:tplc="04090019" w:tentative="1">
      <w:start w:val="1"/>
      <w:numFmt w:val="lowerLetter"/>
      <w:lvlText w:val="%8."/>
      <w:lvlJc w:val="left"/>
      <w:pPr>
        <w:ind w:left="5676" w:hanging="360"/>
      </w:pPr>
    </w:lvl>
    <w:lvl w:ilvl="8" w:tplc="0409001B" w:tentative="1">
      <w:start w:val="1"/>
      <w:numFmt w:val="lowerRoman"/>
      <w:lvlText w:val="%9."/>
      <w:lvlJc w:val="right"/>
      <w:pPr>
        <w:ind w:left="6396" w:hanging="180"/>
      </w:pPr>
    </w:lvl>
  </w:abstractNum>
  <w:abstractNum w:abstractNumId="6">
    <w:nsid w:val="586C719F"/>
    <w:multiLevelType w:val="hybridMultilevel"/>
    <w:tmpl w:val="73DE6E60"/>
    <w:lvl w:ilvl="0" w:tplc="0809000F">
      <w:start w:val="1"/>
      <w:numFmt w:val="decimal"/>
      <w:lvlText w:val="%1."/>
      <w:lvlJc w:val="left"/>
      <w:pPr>
        <w:ind w:left="1434" w:hanging="360"/>
      </w:pPr>
      <w:rPr>
        <w:rFonts w:hint="default"/>
      </w:rPr>
    </w:lvl>
    <w:lvl w:ilvl="1" w:tplc="08090003" w:tentative="1">
      <w:start w:val="1"/>
      <w:numFmt w:val="bullet"/>
      <w:lvlText w:val="o"/>
      <w:lvlJc w:val="left"/>
      <w:pPr>
        <w:ind w:left="2154" w:hanging="360"/>
      </w:pPr>
      <w:rPr>
        <w:rFonts w:ascii="Courier New" w:hAnsi="Courier New" w:cs="Courier New" w:hint="default"/>
      </w:rPr>
    </w:lvl>
    <w:lvl w:ilvl="2" w:tplc="08090005" w:tentative="1">
      <w:start w:val="1"/>
      <w:numFmt w:val="bullet"/>
      <w:lvlText w:val=""/>
      <w:lvlJc w:val="left"/>
      <w:pPr>
        <w:ind w:left="2874" w:hanging="360"/>
      </w:pPr>
      <w:rPr>
        <w:rFonts w:ascii="Wingdings" w:hAnsi="Wingdings" w:hint="default"/>
      </w:rPr>
    </w:lvl>
    <w:lvl w:ilvl="3" w:tplc="08090001" w:tentative="1">
      <w:start w:val="1"/>
      <w:numFmt w:val="bullet"/>
      <w:lvlText w:val=""/>
      <w:lvlJc w:val="left"/>
      <w:pPr>
        <w:ind w:left="3594" w:hanging="360"/>
      </w:pPr>
      <w:rPr>
        <w:rFonts w:ascii="Symbol" w:hAnsi="Symbol" w:hint="default"/>
      </w:rPr>
    </w:lvl>
    <w:lvl w:ilvl="4" w:tplc="08090003" w:tentative="1">
      <w:start w:val="1"/>
      <w:numFmt w:val="bullet"/>
      <w:lvlText w:val="o"/>
      <w:lvlJc w:val="left"/>
      <w:pPr>
        <w:ind w:left="4314" w:hanging="360"/>
      </w:pPr>
      <w:rPr>
        <w:rFonts w:ascii="Courier New" w:hAnsi="Courier New" w:cs="Courier New" w:hint="default"/>
      </w:rPr>
    </w:lvl>
    <w:lvl w:ilvl="5" w:tplc="08090005" w:tentative="1">
      <w:start w:val="1"/>
      <w:numFmt w:val="bullet"/>
      <w:lvlText w:val=""/>
      <w:lvlJc w:val="left"/>
      <w:pPr>
        <w:ind w:left="5034" w:hanging="360"/>
      </w:pPr>
      <w:rPr>
        <w:rFonts w:ascii="Wingdings" w:hAnsi="Wingdings" w:hint="default"/>
      </w:rPr>
    </w:lvl>
    <w:lvl w:ilvl="6" w:tplc="08090001" w:tentative="1">
      <w:start w:val="1"/>
      <w:numFmt w:val="bullet"/>
      <w:lvlText w:val=""/>
      <w:lvlJc w:val="left"/>
      <w:pPr>
        <w:ind w:left="5754" w:hanging="360"/>
      </w:pPr>
      <w:rPr>
        <w:rFonts w:ascii="Symbol" w:hAnsi="Symbol" w:hint="default"/>
      </w:rPr>
    </w:lvl>
    <w:lvl w:ilvl="7" w:tplc="08090003" w:tentative="1">
      <w:start w:val="1"/>
      <w:numFmt w:val="bullet"/>
      <w:lvlText w:val="o"/>
      <w:lvlJc w:val="left"/>
      <w:pPr>
        <w:ind w:left="6474" w:hanging="360"/>
      </w:pPr>
      <w:rPr>
        <w:rFonts w:ascii="Courier New" w:hAnsi="Courier New" w:cs="Courier New" w:hint="default"/>
      </w:rPr>
    </w:lvl>
    <w:lvl w:ilvl="8" w:tplc="08090005" w:tentative="1">
      <w:start w:val="1"/>
      <w:numFmt w:val="bullet"/>
      <w:lvlText w:val=""/>
      <w:lvlJc w:val="left"/>
      <w:pPr>
        <w:ind w:left="7194" w:hanging="360"/>
      </w:pPr>
      <w:rPr>
        <w:rFonts w:ascii="Wingdings" w:hAnsi="Wingdings" w:hint="default"/>
      </w:rPr>
    </w:lvl>
  </w:abstractNum>
  <w:abstractNum w:abstractNumId="7">
    <w:nsid w:val="631D0A0C"/>
    <w:multiLevelType w:val="hybridMultilevel"/>
    <w:tmpl w:val="53FEC22C"/>
    <w:lvl w:ilvl="0" w:tplc="08090001">
      <w:start w:val="1"/>
      <w:numFmt w:val="bullet"/>
      <w:lvlText w:val=""/>
      <w:lvlJc w:val="left"/>
      <w:pPr>
        <w:ind w:left="1434" w:hanging="360"/>
      </w:pPr>
      <w:rPr>
        <w:rFonts w:ascii="Symbol" w:hAnsi="Symbol" w:hint="default"/>
      </w:rPr>
    </w:lvl>
    <w:lvl w:ilvl="1" w:tplc="08090003" w:tentative="1">
      <w:start w:val="1"/>
      <w:numFmt w:val="bullet"/>
      <w:lvlText w:val="o"/>
      <w:lvlJc w:val="left"/>
      <w:pPr>
        <w:ind w:left="2154" w:hanging="360"/>
      </w:pPr>
      <w:rPr>
        <w:rFonts w:ascii="Courier New" w:hAnsi="Courier New" w:cs="Courier New" w:hint="default"/>
      </w:rPr>
    </w:lvl>
    <w:lvl w:ilvl="2" w:tplc="08090005" w:tentative="1">
      <w:start w:val="1"/>
      <w:numFmt w:val="bullet"/>
      <w:lvlText w:val=""/>
      <w:lvlJc w:val="left"/>
      <w:pPr>
        <w:ind w:left="2874" w:hanging="360"/>
      </w:pPr>
      <w:rPr>
        <w:rFonts w:ascii="Wingdings" w:hAnsi="Wingdings" w:hint="default"/>
      </w:rPr>
    </w:lvl>
    <w:lvl w:ilvl="3" w:tplc="08090001" w:tentative="1">
      <w:start w:val="1"/>
      <w:numFmt w:val="bullet"/>
      <w:lvlText w:val=""/>
      <w:lvlJc w:val="left"/>
      <w:pPr>
        <w:ind w:left="3594" w:hanging="360"/>
      </w:pPr>
      <w:rPr>
        <w:rFonts w:ascii="Symbol" w:hAnsi="Symbol" w:hint="default"/>
      </w:rPr>
    </w:lvl>
    <w:lvl w:ilvl="4" w:tplc="08090003" w:tentative="1">
      <w:start w:val="1"/>
      <w:numFmt w:val="bullet"/>
      <w:lvlText w:val="o"/>
      <w:lvlJc w:val="left"/>
      <w:pPr>
        <w:ind w:left="4314" w:hanging="360"/>
      </w:pPr>
      <w:rPr>
        <w:rFonts w:ascii="Courier New" w:hAnsi="Courier New" w:cs="Courier New" w:hint="default"/>
      </w:rPr>
    </w:lvl>
    <w:lvl w:ilvl="5" w:tplc="08090005" w:tentative="1">
      <w:start w:val="1"/>
      <w:numFmt w:val="bullet"/>
      <w:lvlText w:val=""/>
      <w:lvlJc w:val="left"/>
      <w:pPr>
        <w:ind w:left="5034" w:hanging="360"/>
      </w:pPr>
      <w:rPr>
        <w:rFonts w:ascii="Wingdings" w:hAnsi="Wingdings" w:hint="default"/>
      </w:rPr>
    </w:lvl>
    <w:lvl w:ilvl="6" w:tplc="08090001" w:tentative="1">
      <w:start w:val="1"/>
      <w:numFmt w:val="bullet"/>
      <w:lvlText w:val=""/>
      <w:lvlJc w:val="left"/>
      <w:pPr>
        <w:ind w:left="5754" w:hanging="360"/>
      </w:pPr>
      <w:rPr>
        <w:rFonts w:ascii="Symbol" w:hAnsi="Symbol" w:hint="default"/>
      </w:rPr>
    </w:lvl>
    <w:lvl w:ilvl="7" w:tplc="08090003" w:tentative="1">
      <w:start w:val="1"/>
      <w:numFmt w:val="bullet"/>
      <w:lvlText w:val="o"/>
      <w:lvlJc w:val="left"/>
      <w:pPr>
        <w:ind w:left="6474" w:hanging="360"/>
      </w:pPr>
      <w:rPr>
        <w:rFonts w:ascii="Courier New" w:hAnsi="Courier New" w:cs="Courier New" w:hint="default"/>
      </w:rPr>
    </w:lvl>
    <w:lvl w:ilvl="8" w:tplc="08090005" w:tentative="1">
      <w:start w:val="1"/>
      <w:numFmt w:val="bullet"/>
      <w:lvlText w:val=""/>
      <w:lvlJc w:val="left"/>
      <w:pPr>
        <w:ind w:left="7194" w:hanging="360"/>
      </w:pPr>
      <w:rPr>
        <w:rFonts w:ascii="Wingdings" w:hAnsi="Wingdings" w:hint="default"/>
      </w:rPr>
    </w:lvl>
  </w:abstractNum>
  <w:abstractNum w:abstractNumId="8">
    <w:nsid w:val="64684205"/>
    <w:multiLevelType w:val="hybridMultilevel"/>
    <w:tmpl w:val="B41642B4"/>
    <w:lvl w:ilvl="0" w:tplc="561CF5B8">
      <w:start w:val="1"/>
      <w:numFmt w:val="decimal"/>
      <w:pStyle w:val="AAABodyText"/>
      <w:lvlText w:val="%1."/>
      <w:lvlJc w:val="left"/>
      <w:pPr>
        <w:ind w:left="786" w:hanging="360"/>
      </w:pPr>
      <w:rPr>
        <w:rFonts w:cs="Times New Roman"/>
      </w:rPr>
    </w:lvl>
    <w:lvl w:ilvl="1" w:tplc="08090019" w:tentative="1">
      <w:start w:val="1"/>
      <w:numFmt w:val="lowerLetter"/>
      <w:lvlText w:val="%2."/>
      <w:lvlJc w:val="left"/>
      <w:pPr>
        <w:ind w:left="3444" w:hanging="360"/>
      </w:pPr>
      <w:rPr>
        <w:rFonts w:cs="Times New Roman"/>
      </w:rPr>
    </w:lvl>
    <w:lvl w:ilvl="2" w:tplc="0809001B" w:tentative="1">
      <w:start w:val="1"/>
      <w:numFmt w:val="lowerRoman"/>
      <w:lvlText w:val="%3."/>
      <w:lvlJc w:val="right"/>
      <w:pPr>
        <w:ind w:left="4164" w:hanging="180"/>
      </w:pPr>
      <w:rPr>
        <w:rFonts w:cs="Times New Roman"/>
      </w:rPr>
    </w:lvl>
    <w:lvl w:ilvl="3" w:tplc="0809000F" w:tentative="1">
      <w:start w:val="1"/>
      <w:numFmt w:val="decimal"/>
      <w:lvlText w:val="%4."/>
      <w:lvlJc w:val="left"/>
      <w:pPr>
        <w:ind w:left="4884" w:hanging="360"/>
      </w:pPr>
      <w:rPr>
        <w:rFonts w:cs="Times New Roman"/>
      </w:rPr>
    </w:lvl>
    <w:lvl w:ilvl="4" w:tplc="08090019" w:tentative="1">
      <w:start w:val="1"/>
      <w:numFmt w:val="lowerLetter"/>
      <w:lvlText w:val="%5."/>
      <w:lvlJc w:val="left"/>
      <w:pPr>
        <w:ind w:left="5604" w:hanging="360"/>
      </w:pPr>
      <w:rPr>
        <w:rFonts w:cs="Times New Roman"/>
      </w:rPr>
    </w:lvl>
    <w:lvl w:ilvl="5" w:tplc="0809001B" w:tentative="1">
      <w:start w:val="1"/>
      <w:numFmt w:val="lowerRoman"/>
      <w:lvlText w:val="%6."/>
      <w:lvlJc w:val="right"/>
      <w:pPr>
        <w:ind w:left="6324" w:hanging="180"/>
      </w:pPr>
      <w:rPr>
        <w:rFonts w:cs="Times New Roman"/>
      </w:rPr>
    </w:lvl>
    <w:lvl w:ilvl="6" w:tplc="0809000F" w:tentative="1">
      <w:start w:val="1"/>
      <w:numFmt w:val="decimal"/>
      <w:lvlText w:val="%7."/>
      <w:lvlJc w:val="left"/>
      <w:pPr>
        <w:ind w:left="7044" w:hanging="360"/>
      </w:pPr>
      <w:rPr>
        <w:rFonts w:cs="Times New Roman"/>
      </w:rPr>
    </w:lvl>
    <w:lvl w:ilvl="7" w:tplc="08090019" w:tentative="1">
      <w:start w:val="1"/>
      <w:numFmt w:val="lowerLetter"/>
      <w:lvlText w:val="%8."/>
      <w:lvlJc w:val="left"/>
      <w:pPr>
        <w:ind w:left="7764" w:hanging="360"/>
      </w:pPr>
      <w:rPr>
        <w:rFonts w:cs="Times New Roman"/>
      </w:rPr>
    </w:lvl>
    <w:lvl w:ilvl="8" w:tplc="0809001B" w:tentative="1">
      <w:start w:val="1"/>
      <w:numFmt w:val="lowerRoman"/>
      <w:lvlText w:val="%9."/>
      <w:lvlJc w:val="right"/>
      <w:pPr>
        <w:ind w:left="8484" w:hanging="180"/>
      </w:pPr>
      <w:rPr>
        <w:rFonts w:cs="Times New Roman"/>
      </w:rPr>
    </w:lvl>
  </w:abstractNum>
  <w:abstractNum w:abstractNumId="9">
    <w:nsid w:val="666B63AE"/>
    <w:multiLevelType w:val="hybridMultilevel"/>
    <w:tmpl w:val="9230ACCA"/>
    <w:lvl w:ilvl="0" w:tplc="08090001">
      <w:start w:val="1"/>
      <w:numFmt w:val="bullet"/>
      <w:lvlText w:val=""/>
      <w:lvlJc w:val="left"/>
      <w:pPr>
        <w:ind w:left="720" w:hanging="360"/>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0">
    <w:nsid w:val="67B27711"/>
    <w:multiLevelType w:val="hybridMultilevel"/>
    <w:tmpl w:val="7A48BF72"/>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1">
    <w:nsid w:val="740069B5"/>
    <w:multiLevelType w:val="hybridMultilevel"/>
    <w:tmpl w:val="9C68A836"/>
    <w:lvl w:ilvl="0" w:tplc="08090001">
      <w:start w:val="1"/>
      <w:numFmt w:val="bullet"/>
      <w:lvlText w:val=""/>
      <w:lvlJc w:val="left"/>
      <w:pPr>
        <w:ind w:left="1080" w:hanging="360"/>
      </w:pPr>
      <w:rPr>
        <w:rFonts w:ascii="Symbol" w:hAnsi="Symbol" w:hint="default"/>
      </w:rPr>
    </w:lvl>
    <w:lvl w:ilvl="1" w:tplc="08090019" w:tentative="1">
      <w:start w:val="1"/>
      <w:numFmt w:val="lowerLetter"/>
      <w:lvlText w:val="%2."/>
      <w:lvlJc w:val="left"/>
      <w:pPr>
        <w:ind w:left="1800" w:hanging="360"/>
      </w:pPr>
      <w:rPr>
        <w:rFonts w:cs="Times New Roman"/>
      </w:rPr>
    </w:lvl>
    <w:lvl w:ilvl="2" w:tplc="0809001B" w:tentative="1">
      <w:start w:val="1"/>
      <w:numFmt w:val="lowerRoman"/>
      <w:lvlText w:val="%3."/>
      <w:lvlJc w:val="right"/>
      <w:pPr>
        <w:ind w:left="2520" w:hanging="180"/>
      </w:pPr>
      <w:rPr>
        <w:rFonts w:cs="Times New Roman"/>
      </w:rPr>
    </w:lvl>
    <w:lvl w:ilvl="3" w:tplc="0809000F" w:tentative="1">
      <w:start w:val="1"/>
      <w:numFmt w:val="decimal"/>
      <w:lvlText w:val="%4."/>
      <w:lvlJc w:val="left"/>
      <w:pPr>
        <w:ind w:left="3240" w:hanging="360"/>
      </w:pPr>
      <w:rPr>
        <w:rFonts w:cs="Times New Roman"/>
      </w:rPr>
    </w:lvl>
    <w:lvl w:ilvl="4" w:tplc="08090019" w:tentative="1">
      <w:start w:val="1"/>
      <w:numFmt w:val="lowerLetter"/>
      <w:lvlText w:val="%5."/>
      <w:lvlJc w:val="left"/>
      <w:pPr>
        <w:ind w:left="3960" w:hanging="360"/>
      </w:pPr>
      <w:rPr>
        <w:rFonts w:cs="Times New Roman"/>
      </w:rPr>
    </w:lvl>
    <w:lvl w:ilvl="5" w:tplc="0809001B" w:tentative="1">
      <w:start w:val="1"/>
      <w:numFmt w:val="lowerRoman"/>
      <w:lvlText w:val="%6."/>
      <w:lvlJc w:val="right"/>
      <w:pPr>
        <w:ind w:left="4680" w:hanging="180"/>
      </w:pPr>
      <w:rPr>
        <w:rFonts w:cs="Times New Roman"/>
      </w:rPr>
    </w:lvl>
    <w:lvl w:ilvl="6" w:tplc="0809000F" w:tentative="1">
      <w:start w:val="1"/>
      <w:numFmt w:val="decimal"/>
      <w:lvlText w:val="%7."/>
      <w:lvlJc w:val="left"/>
      <w:pPr>
        <w:ind w:left="5400" w:hanging="360"/>
      </w:pPr>
      <w:rPr>
        <w:rFonts w:cs="Times New Roman"/>
      </w:rPr>
    </w:lvl>
    <w:lvl w:ilvl="7" w:tplc="08090019" w:tentative="1">
      <w:start w:val="1"/>
      <w:numFmt w:val="lowerLetter"/>
      <w:lvlText w:val="%8."/>
      <w:lvlJc w:val="left"/>
      <w:pPr>
        <w:ind w:left="6120" w:hanging="360"/>
      </w:pPr>
      <w:rPr>
        <w:rFonts w:cs="Times New Roman"/>
      </w:rPr>
    </w:lvl>
    <w:lvl w:ilvl="8" w:tplc="0809001B" w:tentative="1">
      <w:start w:val="1"/>
      <w:numFmt w:val="lowerRoman"/>
      <w:lvlText w:val="%9."/>
      <w:lvlJc w:val="right"/>
      <w:pPr>
        <w:ind w:left="6840" w:hanging="180"/>
      </w:pPr>
      <w:rPr>
        <w:rFonts w:cs="Times New Roman"/>
      </w:rPr>
    </w:lvl>
  </w:abstractNum>
  <w:abstractNum w:abstractNumId="12">
    <w:nsid w:val="77D75117"/>
    <w:multiLevelType w:val="hybridMultilevel"/>
    <w:tmpl w:val="85E2BE14"/>
    <w:lvl w:ilvl="0" w:tplc="A6AA2FD4">
      <w:start w:val="1"/>
      <w:numFmt w:val="decimal"/>
      <w:pStyle w:val="ListParagraph"/>
      <w:lvlText w:val="%1."/>
      <w:lvlJc w:val="left"/>
      <w:pPr>
        <w:ind w:left="720" w:hanging="360"/>
      </w:pPr>
      <w:rPr>
        <w:b w:val="0"/>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num w:numId="1">
    <w:abstractNumId w:val="12"/>
  </w:num>
  <w:num w:numId="2">
    <w:abstractNumId w:val="0"/>
  </w:num>
  <w:num w:numId="3">
    <w:abstractNumId w:val="1"/>
  </w:num>
  <w:num w:numId="4">
    <w:abstractNumId w:val="8"/>
  </w:num>
  <w:num w:numId="5">
    <w:abstractNumId w:val="11"/>
  </w:num>
  <w:num w:numId="6">
    <w:abstractNumId w:val="3"/>
  </w:num>
  <w:num w:numId="7">
    <w:abstractNumId w:val="7"/>
  </w:num>
  <w:num w:numId="8">
    <w:abstractNumId w:val="6"/>
  </w:num>
  <w:num w:numId="9">
    <w:abstractNumId w:val="2"/>
  </w:num>
  <w:num w:numId="10">
    <w:abstractNumId w:val="4"/>
  </w:num>
  <w:num w:numId="11">
    <w:abstractNumId w:val="10"/>
  </w:num>
  <w:num w:numId="12">
    <w:abstractNumId w:val="5"/>
  </w:num>
  <w:num w:numId="13">
    <w:abstractNumId w:val="9"/>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attachedTemplate r:id="rId1"/>
  <w:defaultTabStop w:val="720"/>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C26BBC"/>
    <w:rsid w:val="00006A93"/>
    <w:rsid w:val="0001012D"/>
    <w:rsid w:val="00025724"/>
    <w:rsid w:val="00033E13"/>
    <w:rsid w:val="00037B09"/>
    <w:rsid w:val="000764DF"/>
    <w:rsid w:val="00077C4E"/>
    <w:rsid w:val="000814DB"/>
    <w:rsid w:val="00092C67"/>
    <w:rsid w:val="000B3618"/>
    <w:rsid w:val="000B3FB5"/>
    <w:rsid w:val="000F2D74"/>
    <w:rsid w:val="0011353B"/>
    <w:rsid w:val="001215A5"/>
    <w:rsid w:val="00125005"/>
    <w:rsid w:val="00131534"/>
    <w:rsid w:val="00133E68"/>
    <w:rsid w:val="001350D7"/>
    <w:rsid w:val="00146A42"/>
    <w:rsid w:val="00151ADA"/>
    <w:rsid w:val="00171606"/>
    <w:rsid w:val="00184E5E"/>
    <w:rsid w:val="001C1301"/>
    <w:rsid w:val="001E3AFB"/>
    <w:rsid w:val="001E4A20"/>
    <w:rsid w:val="00216524"/>
    <w:rsid w:val="00222A4A"/>
    <w:rsid w:val="00224FBC"/>
    <w:rsid w:val="002320E4"/>
    <w:rsid w:val="00232797"/>
    <w:rsid w:val="00237FF8"/>
    <w:rsid w:val="00266342"/>
    <w:rsid w:val="00271C41"/>
    <w:rsid w:val="00281F1D"/>
    <w:rsid w:val="00291583"/>
    <w:rsid w:val="002B2763"/>
    <w:rsid w:val="002B27BA"/>
    <w:rsid w:val="002D0639"/>
    <w:rsid w:val="002E0602"/>
    <w:rsid w:val="003041ED"/>
    <w:rsid w:val="00306D69"/>
    <w:rsid w:val="003210F5"/>
    <w:rsid w:val="0033564F"/>
    <w:rsid w:val="00345F82"/>
    <w:rsid w:val="00364B35"/>
    <w:rsid w:val="003734CD"/>
    <w:rsid w:val="003740B5"/>
    <w:rsid w:val="0039655C"/>
    <w:rsid w:val="003D335A"/>
    <w:rsid w:val="003D4138"/>
    <w:rsid w:val="003F5D63"/>
    <w:rsid w:val="00414528"/>
    <w:rsid w:val="00421058"/>
    <w:rsid w:val="00442A3C"/>
    <w:rsid w:val="0044439F"/>
    <w:rsid w:val="00463D3B"/>
    <w:rsid w:val="004712C5"/>
    <w:rsid w:val="0047713E"/>
    <w:rsid w:val="0049185A"/>
    <w:rsid w:val="004A264C"/>
    <w:rsid w:val="004D0920"/>
    <w:rsid w:val="00512DFC"/>
    <w:rsid w:val="005466BD"/>
    <w:rsid w:val="00550907"/>
    <w:rsid w:val="005617B1"/>
    <w:rsid w:val="00584458"/>
    <w:rsid w:val="00597E77"/>
    <w:rsid w:val="005A0D1E"/>
    <w:rsid w:val="005A332C"/>
    <w:rsid w:val="005B1A40"/>
    <w:rsid w:val="005B764D"/>
    <w:rsid w:val="005E24D0"/>
    <w:rsid w:val="005E58B9"/>
    <w:rsid w:val="00600CC5"/>
    <w:rsid w:val="00612E93"/>
    <w:rsid w:val="0063394D"/>
    <w:rsid w:val="00656811"/>
    <w:rsid w:val="0065690E"/>
    <w:rsid w:val="006741F6"/>
    <w:rsid w:val="00676206"/>
    <w:rsid w:val="006803E8"/>
    <w:rsid w:val="0068423E"/>
    <w:rsid w:val="00692421"/>
    <w:rsid w:val="006A0FF2"/>
    <w:rsid w:val="006A1BC5"/>
    <w:rsid w:val="006A57CE"/>
    <w:rsid w:val="006A659C"/>
    <w:rsid w:val="006B1A27"/>
    <w:rsid w:val="006C2854"/>
    <w:rsid w:val="006D60FC"/>
    <w:rsid w:val="006D6B8D"/>
    <w:rsid w:val="006E3513"/>
    <w:rsid w:val="00700099"/>
    <w:rsid w:val="00701E4E"/>
    <w:rsid w:val="007211EB"/>
    <w:rsid w:val="00725D59"/>
    <w:rsid w:val="00732C21"/>
    <w:rsid w:val="007B79C5"/>
    <w:rsid w:val="007F6F57"/>
    <w:rsid w:val="008123F3"/>
    <w:rsid w:val="008124B8"/>
    <w:rsid w:val="00813DC1"/>
    <w:rsid w:val="00836DCD"/>
    <w:rsid w:val="00837C20"/>
    <w:rsid w:val="008850A6"/>
    <w:rsid w:val="00885DFA"/>
    <w:rsid w:val="008A47A9"/>
    <w:rsid w:val="008A7AED"/>
    <w:rsid w:val="008B13E8"/>
    <w:rsid w:val="008B1F04"/>
    <w:rsid w:val="008B242E"/>
    <w:rsid w:val="008C56AF"/>
    <w:rsid w:val="008E4546"/>
    <w:rsid w:val="00900324"/>
    <w:rsid w:val="00910D34"/>
    <w:rsid w:val="00926A6D"/>
    <w:rsid w:val="009313B5"/>
    <w:rsid w:val="00934BF7"/>
    <w:rsid w:val="009547A8"/>
    <w:rsid w:val="009603A7"/>
    <w:rsid w:val="0096146C"/>
    <w:rsid w:val="00973683"/>
    <w:rsid w:val="00986C57"/>
    <w:rsid w:val="009B508F"/>
    <w:rsid w:val="009C526A"/>
    <w:rsid w:val="009E0542"/>
    <w:rsid w:val="009F1D01"/>
    <w:rsid w:val="00A2085C"/>
    <w:rsid w:val="00A40573"/>
    <w:rsid w:val="00A90244"/>
    <w:rsid w:val="00A92198"/>
    <w:rsid w:val="00AA2326"/>
    <w:rsid w:val="00AA4B9D"/>
    <w:rsid w:val="00AB66B3"/>
    <w:rsid w:val="00AF2F70"/>
    <w:rsid w:val="00B213AB"/>
    <w:rsid w:val="00B21AEE"/>
    <w:rsid w:val="00B22248"/>
    <w:rsid w:val="00B27C39"/>
    <w:rsid w:val="00B30823"/>
    <w:rsid w:val="00B6493E"/>
    <w:rsid w:val="00B848C8"/>
    <w:rsid w:val="00B94441"/>
    <w:rsid w:val="00BB155A"/>
    <w:rsid w:val="00BB3B8E"/>
    <w:rsid w:val="00BB4D7F"/>
    <w:rsid w:val="00BC3A15"/>
    <w:rsid w:val="00BE0F5C"/>
    <w:rsid w:val="00BE2608"/>
    <w:rsid w:val="00BE3AC2"/>
    <w:rsid w:val="00BF69C4"/>
    <w:rsid w:val="00BF735C"/>
    <w:rsid w:val="00C072AE"/>
    <w:rsid w:val="00C26BBC"/>
    <w:rsid w:val="00C27E5B"/>
    <w:rsid w:val="00C35A8E"/>
    <w:rsid w:val="00C47A66"/>
    <w:rsid w:val="00C541A4"/>
    <w:rsid w:val="00C90F66"/>
    <w:rsid w:val="00C917E9"/>
    <w:rsid w:val="00CB16E3"/>
    <w:rsid w:val="00CB1E74"/>
    <w:rsid w:val="00CD109A"/>
    <w:rsid w:val="00CD615C"/>
    <w:rsid w:val="00CE4794"/>
    <w:rsid w:val="00CF7CD4"/>
    <w:rsid w:val="00D65223"/>
    <w:rsid w:val="00D715C9"/>
    <w:rsid w:val="00D73433"/>
    <w:rsid w:val="00D80EF9"/>
    <w:rsid w:val="00DC35FB"/>
    <w:rsid w:val="00DC3E17"/>
    <w:rsid w:val="00DC547E"/>
    <w:rsid w:val="00DD05E9"/>
    <w:rsid w:val="00DD4A41"/>
    <w:rsid w:val="00DE6222"/>
    <w:rsid w:val="00DF3859"/>
    <w:rsid w:val="00E33642"/>
    <w:rsid w:val="00E616A8"/>
    <w:rsid w:val="00EA3AB7"/>
    <w:rsid w:val="00EA4614"/>
    <w:rsid w:val="00EC083F"/>
    <w:rsid w:val="00ED1A2B"/>
    <w:rsid w:val="00EE65B5"/>
    <w:rsid w:val="00F04E05"/>
    <w:rsid w:val="00F2301B"/>
    <w:rsid w:val="00F3169B"/>
    <w:rsid w:val="00F3276D"/>
    <w:rsid w:val="00F534C2"/>
    <w:rsid w:val="00F6330C"/>
    <w:rsid w:val="00F76565"/>
    <w:rsid w:val="00F84CC3"/>
    <w:rsid w:val="00FA5B6E"/>
    <w:rsid w:val="00FB7A9C"/>
    <w:rsid w:val="00FC77EB"/>
    <w:rsid w:val="00FE07EE"/>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n-GB"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List Bullet" w:uiPriority="0"/>
    <w:lsdException w:name="Title" w:semiHidden="0" w:uiPriority="10" w:unhideWhenUsed="0" w:qFormat="1"/>
    <w:lsdException w:name="Default Paragraph Font" w:uiPriority="1"/>
    <w:lsdException w:name="Subtitle" w:semiHidden="0" w:uiPriority="11" w:unhideWhenUsed="0" w:qFormat="1"/>
    <w:lsdException w:name="Block Text" w:uiPriority="0"/>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aliases w:val="SCCRC List Paragraph"/>
    <w:basedOn w:val="Normal"/>
    <w:link w:val="ListParagraphChar"/>
    <w:uiPriority w:val="34"/>
    <w:qFormat/>
    <w:rsid w:val="00D715C9"/>
    <w:pPr>
      <w:numPr>
        <w:numId w:val="1"/>
      </w:numPr>
      <w:spacing w:before="120" w:after="240" w:line="360" w:lineRule="auto"/>
      <w:ind w:left="567" w:hanging="357"/>
      <w:jc w:val="both"/>
    </w:pPr>
    <w:rPr>
      <w:rFonts w:ascii="FS Albert" w:hAnsi="FS Albert"/>
      <w:color w:val="194062"/>
      <w:sz w:val="24"/>
      <w:szCs w:val="24"/>
    </w:rPr>
  </w:style>
  <w:style w:type="paragraph" w:styleId="FootnoteText">
    <w:name w:val="footnote text"/>
    <w:basedOn w:val="Normal"/>
    <w:link w:val="FootnoteTextChar"/>
    <w:uiPriority w:val="99"/>
    <w:semiHidden/>
    <w:unhideWhenUsed/>
    <w:rsid w:val="00F76565"/>
    <w:pPr>
      <w:spacing w:after="0" w:line="240" w:lineRule="auto"/>
    </w:pPr>
    <w:rPr>
      <w:sz w:val="20"/>
      <w:szCs w:val="20"/>
    </w:rPr>
  </w:style>
  <w:style w:type="character" w:customStyle="1" w:styleId="FootnoteTextChar">
    <w:name w:val="Footnote Text Char"/>
    <w:basedOn w:val="DefaultParagraphFont"/>
    <w:link w:val="FootnoteText"/>
    <w:uiPriority w:val="99"/>
    <w:semiHidden/>
    <w:rsid w:val="00F76565"/>
    <w:rPr>
      <w:sz w:val="20"/>
      <w:szCs w:val="20"/>
    </w:rPr>
  </w:style>
  <w:style w:type="character" w:styleId="FootnoteReference">
    <w:name w:val="footnote reference"/>
    <w:basedOn w:val="DefaultParagraphFont"/>
    <w:uiPriority w:val="99"/>
    <w:semiHidden/>
    <w:unhideWhenUsed/>
    <w:rsid w:val="00F76565"/>
    <w:rPr>
      <w:vertAlign w:val="superscript"/>
    </w:rPr>
  </w:style>
  <w:style w:type="paragraph" w:styleId="BalloonText">
    <w:name w:val="Balloon Text"/>
    <w:basedOn w:val="Normal"/>
    <w:link w:val="BalloonTextChar"/>
    <w:uiPriority w:val="99"/>
    <w:semiHidden/>
    <w:unhideWhenUsed/>
    <w:rsid w:val="006A1BC5"/>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6A1BC5"/>
    <w:rPr>
      <w:rFonts w:ascii="Tahoma" w:hAnsi="Tahoma" w:cs="Tahoma"/>
      <w:sz w:val="16"/>
      <w:szCs w:val="16"/>
    </w:rPr>
  </w:style>
  <w:style w:type="paragraph" w:styleId="Header">
    <w:name w:val="header"/>
    <w:basedOn w:val="Normal"/>
    <w:link w:val="HeaderChar"/>
    <w:uiPriority w:val="99"/>
    <w:unhideWhenUsed/>
    <w:rsid w:val="00266342"/>
    <w:pPr>
      <w:tabs>
        <w:tab w:val="center" w:pos="4513"/>
        <w:tab w:val="right" w:pos="9026"/>
      </w:tabs>
      <w:spacing w:after="0" w:line="240" w:lineRule="auto"/>
    </w:pPr>
  </w:style>
  <w:style w:type="character" w:customStyle="1" w:styleId="HeaderChar">
    <w:name w:val="Header Char"/>
    <w:basedOn w:val="DefaultParagraphFont"/>
    <w:link w:val="Header"/>
    <w:uiPriority w:val="99"/>
    <w:rsid w:val="00266342"/>
  </w:style>
  <w:style w:type="paragraph" w:styleId="Footer">
    <w:name w:val="footer"/>
    <w:basedOn w:val="Normal"/>
    <w:link w:val="FooterChar"/>
    <w:uiPriority w:val="99"/>
    <w:unhideWhenUsed/>
    <w:rsid w:val="00266342"/>
    <w:pPr>
      <w:tabs>
        <w:tab w:val="center" w:pos="4513"/>
        <w:tab w:val="right" w:pos="9026"/>
      </w:tabs>
      <w:spacing w:after="0" w:line="240" w:lineRule="auto"/>
    </w:pPr>
  </w:style>
  <w:style w:type="character" w:customStyle="1" w:styleId="FooterChar">
    <w:name w:val="Footer Char"/>
    <w:basedOn w:val="DefaultParagraphFont"/>
    <w:link w:val="Footer"/>
    <w:uiPriority w:val="99"/>
    <w:rsid w:val="00266342"/>
  </w:style>
  <w:style w:type="paragraph" w:styleId="BlockText">
    <w:name w:val="Block Text"/>
    <w:basedOn w:val="Normal"/>
    <w:link w:val="BlockTextChar"/>
    <w:rsid w:val="004D0920"/>
    <w:pPr>
      <w:numPr>
        <w:numId w:val="3"/>
      </w:numPr>
      <w:spacing w:after="240" w:line="360" w:lineRule="auto"/>
      <w:jc w:val="both"/>
    </w:pPr>
    <w:rPr>
      <w:rFonts w:ascii="Calibri" w:eastAsia="Times New Roman" w:hAnsi="Calibri" w:cs="Times New Roman"/>
    </w:rPr>
  </w:style>
  <w:style w:type="paragraph" w:styleId="ListBullet">
    <w:name w:val="List Bullet"/>
    <w:basedOn w:val="Normal"/>
    <w:autoRedefine/>
    <w:rsid w:val="004D0920"/>
    <w:pPr>
      <w:numPr>
        <w:numId w:val="2"/>
      </w:numPr>
      <w:spacing w:after="240" w:line="360" w:lineRule="auto"/>
      <w:ind w:left="357" w:hanging="357"/>
      <w:jc w:val="both"/>
    </w:pPr>
    <w:rPr>
      <w:rFonts w:ascii="Calibri" w:eastAsia="Times New Roman" w:hAnsi="Calibri" w:cs="Times New Roman"/>
      <w:noProof/>
    </w:rPr>
  </w:style>
  <w:style w:type="paragraph" w:customStyle="1" w:styleId="AAABodyText">
    <w:name w:val="AAA Body Text"/>
    <w:basedOn w:val="ListParagraph"/>
    <w:rsid w:val="004D0920"/>
    <w:pPr>
      <w:numPr>
        <w:numId w:val="4"/>
      </w:numPr>
      <w:tabs>
        <w:tab w:val="left" w:pos="-15168"/>
        <w:tab w:val="left" w:pos="-15026"/>
      </w:tabs>
      <w:spacing w:after="100" w:afterAutospacing="1"/>
      <w:ind w:left="0" w:firstLine="0"/>
    </w:pPr>
    <w:rPr>
      <w:rFonts w:eastAsia="Times New Roman" w:cs="Times New Roman"/>
      <w:lang w:eastAsia="en-GB"/>
    </w:rPr>
  </w:style>
  <w:style w:type="paragraph" w:customStyle="1" w:styleId="AAABodytext0">
    <w:name w:val="AAA Body text"/>
    <w:basedOn w:val="ListParagraph"/>
    <w:rsid w:val="004D0920"/>
    <w:pPr>
      <w:tabs>
        <w:tab w:val="left" w:pos="-15168"/>
        <w:tab w:val="left" w:pos="-1985"/>
      </w:tabs>
      <w:spacing w:after="100" w:afterAutospacing="1"/>
      <w:ind w:left="0"/>
    </w:pPr>
    <w:rPr>
      <w:rFonts w:eastAsia="Times New Roman" w:cs="Times New Roman"/>
      <w:lang w:eastAsia="en-GB"/>
    </w:rPr>
  </w:style>
  <w:style w:type="character" w:customStyle="1" w:styleId="BlockTextChar">
    <w:name w:val="Block Text Char"/>
    <w:link w:val="BlockText"/>
    <w:rsid w:val="004D0920"/>
    <w:rPr>
      <w:rFonts w:ascii="Calibri" w:eastAsia="Times New Roman" w:hAnsi="Calibri" w:cs="Times New Roman"/>
    </w:rPr>
  </w:style>
  <w:style w:type="paragraph" w:styleId="EndnoteText">
    <w:name w:val="endnote text"/>
    <w:basedOn w:val="Normal"/>
    <w:link w:val="EndnoteTextChar"/>
    <w:uiPriority w:val="99"/>
    <w:semiHidden/>
    <w:unhideWhenUsed/>
    <w:rsid w:val="008B1F04"/>
    <w:pPr>
      <w:spacing w:after="0" w:line="240" w:lineRule="auto"/>
    </w:pPr>
    <w:rPr>
      <w:sz w:val="20"/>
      <w:szCs w:val="20"/>
    </w:rPr>
  </w:style>
  <w:style w:type="character" w:customStyle="1" w:styleId="EndnoteTextChar">
    <w:name w:val="Endnote Text Char"/>
    <w:basedOn w:val="DefaultParagraphFont"/>
    <w:link w:val="EndnoteText"/>
    <w:uiPriority w:val="99"/>
    <w:semiHidden/>
    <w:rsid w:val="008B1F04"/>
    <w:rPr>
      <w:sz w:val="20"/>
      <w:szCs w:val="20"/>
    </w:rPr>
  </w:style>
  <w:style w:type="character" w:styleId="EndnoteReference">
    <w:name w:val="endnote reference"/>
    <w:basedOn w:val="DefaultParagraphFont"/>
    <w:uiPriority w:val="99"/>
    <w:semiHidden/>
    <w:unhideWhenUsed/>
    <w:rsid w:val="008B1F04"/>
    <w:rPr>
      <w:vertAlign w:val="superscript"/>
    </w:rPr>
  </w:style>
  <w:style w:type="character" w:styleId="CommentReference">
    <w:name w:val="annotation reference"/>
    <w:basedOn w:val="DefaultParagraphFont"/>
    <w:uiPriority w:val="99"/>
    <w:semiHidden/>
    <w:unhideWhenUsed/>
    <w:rsid w:val="00131534"/>
    <w:rPr>
      <w:sz w:val="16"/>
      <w:szCs w:val="16"/>
    </w:rPr>
  </w:style>
  <w:style w:type="paragraph" w:styleId="CommentText">
    <w:name w:val="annotation text"/>
    <w:basedOn w:val="Normal"/>
    <w:link w:val="CommentTextChar"/>
    <w:uiPriority w:val="99"/>
    <w:semiHidden/>
    <w:unhideWhenUsed/>
    <w:rsid w:val="00131534"/>
    <w:pPr>
      <w:spacing w:line="240" w:lineRule="auto"/>
    </w:pPr>
    <w:rPr>
      <w:sz w:val="20"/>
      <w:szCs w:val="20"/>
    </w:rPr>
  </w:style>
  <w:style w:type="character" w:customStyle="1" w:styleId="CommentTextChar">
    <w:name w:val="Comment Text Char"/>
    <w:basedOn w:val="DefaultParagraphFont"/>
    <w:link w:val="CommentText"/>
    <w:uiPriority w:val="99"/>
    <w:semiHidden/>
    <w:rsid w:val="00131534"/>
    <w:rPr>
      <w:sz w:val="20"/>
      <w:szCs w:val="20"/>
    </w:rPr>
  </w:style>
  <w:style w:type="paragraph" w:styleId="CommentSubject">
    <w:name w:val="annotation subject"/>
    <w:basedOn w:val="CommentText"/>
    <w:next w:val="CommentText"/>
    <w:link w:val="CommentSubjectChar"/>
    <w:uiPriority w:val="99"/>
    <w:semiHidden/>
    <w:unhideWhenUsed/>
    <w:rsid w:val="00131534"/>
    <w:rPr>
      <w:b/>
      <w:bCs/>
    </w:rPr>
  </w:style>
  <w:style w:type="character" w:customStyle="1" w:styleId="CommentSubjectChar">
    <w:name w:val="Comment Subject Char"/>
    <w:basedOn w:val="CommentTextChar"/>
    <w:link w:val="CommentSubject"/>
    <w:uiPriority w:val="99"/>
    <w:semiHidden/>
    <w:rsid w:val="00131534"/>
    <w:rPr>
      <w:b/>
      <w:bCs/>
      <w:sz w:val="20"/>
      <w:szCs w:val="20"/>
    </w:rPr>
  </w:style>
  <w:style w:type="character" w:customStyle="1" w:styleId="ListParagraphChar">
    <w:name w:val="List Paragraph Char"/>
    <w:aliases w:val="SCCRC List Paragraph Char"/>
    <w:link w:val="ListParagraph"/>
    <w:uiPriority w:val="34"/>
    <w:rsid w:val="00D715C9"/>
    <w:rPr>
      <w:rFonts w:ascii="FS Albert" w:hAnsi="FS Albert"/>
      <w:color w:val="194062"/>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n-GB"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List Bullet" w:uiPriority="0"/>
    <w:lsdException w:name="Title" w:semiHidden="0" w:uiPriority="10" w:unhideWhenUsed="0" w:qFormat="1"/>
    <w:lsdException w:name="Default Paragraph Font" w:uiPriority="1"/>
    <w:lsdException w:name="Subtitle" w:semiHidden="0" w:uiPriority="11" w:unhideWhenUsed="0" w:qFormat="1"/>
    <w:lsdException w:name="Block Text" w:uiPriority="0"/>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aliases w:val="SCCRC List Paragraph"/>
    <w:basedOn w:val="Normal"/>
    <w:link w:val="ListParagraphChar"/>
    <w:uiPriority w:val="34"/>
    <w:qFormat/>
    <w:rsid w:val="00D715C9"/>
    <w:pPr>
      <w:numPr>
        <w:numId w:val="1"/>
      </w:numPr>
      <w:spacing w:before="120" w:after="240" w:line="360" w:lineRule="auto"/>
      <w:ind w:left="567" w:hanging="357"/>
      <w:jc w:val="both"/>
    </w:pPr>
    <w:rPr>
      <w:rFonts w:ascii="FS Albert" w:hAnsi="FS Albert"/>
      <w:color w:val="194062"/>
      <w:sz w:val="24"/>
      <w:szCs w:val="24"/>
    </w:rPr>
  </w:style>
  <w:style w:type="paragraph" w:styleId="FootnoteText">
    <w:name w:val="footnote text"/>
    <w:basedOn w:val="Normal"/>
    <w:link w:val="FootnoteTextChar"/>
    <w:uiPriority w:val="99"/>
    <w:semiHidden/>
    <w:unhideWhenUsed/>
    <w:rsid w:val="00F76565"/>
    <w:pPr>
      <w:spacing w:after="0" w:line="240" w:lineRule="auto"/>
    </w:pPr>
    <w:rPr>
      <w:sz w:val="20"/>
      <w:szCs w:val="20"/>
    </w:rPr>
  </w:style>
  <w:style w:type="character" w:customStyle="1" w:styleId="FootnoteTextChar">
    <w:name w:val="Footnote Text Char"/>
    <w:basedOn w:val="DefaultParagraphFont"/>
    <w:link w:val="FootnoteText"/>
    <w:uiPriority w:val="99"/>
    <w:semiHidden/>
    <w:rsid w:val="00F76565"/>
    <w:rPr>
      <w:sz w:val="20"/>
      <w:szCs w:val="20"/>
    </w:rPr>
  </w:style>
  <w:style w:type="character" w:styleId="FootnoteReference">
    <w:name w:val="footnote reference"/>
    <w:basedOn w:val="DefaultParagraphFont"/>
    <w:uiPriority w:val="99"/>
    <w:semiHidden/>
    <w:unhideWhenUsed/>
    <w:rsid w:val="00F76565"/>
    <w:rPr>
      <w:vertAlign w:val="superscript"/>
    </w:rPr>
  </w:style>
  <w:style w:type="paragraph" w:styleId="BalloonText">
    <w:name w:val="Balloon Text"/>
    <w:basedOn w:val="Normal"/>
    <w:link w:val="BalloonTextChar"/>
    <w:uiPriority w:val="99"/>
    <w:semiHidden/>
    <w:unhideWhenUsed/>
    <w:rsid w:val="006A1BC5"/>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6A1BC5"/>
    <w:rPr>
      <w:rFonts w:ascii="Tahoma" w:hAnsi="Tahoma" w:cs="Tahoma"/>
      <w:sz w:val="16"/>
      <w:szCs w:val="16"/>
    </w:rPr>
  </w:style>
  <w:style w:type="paragraph" w:styleId="Header">
    <w:name w:val="header"/>
    <w:basedOn w:val="Normal"/>
    <w:link w:val="HeaderChar"/>
    <w:uiPriority w:val="99"/>
    <w:unhideWhenUsed/>
    <w:rsid w:val="00266342"/>
    <w:pPr>
      <w:tabs>
        <w:tab w:val="center" w:pos="4513"/>
        <w:tab w:val="right" w:pos="9026"/>
      </w:tabs>
      <w:spacing w:after="0" w:line="240" w:lineRule="auto"/>
    </w:pPr>
  </w:style>
  <w:style w:type="character" w:customStyle="1" w:styleId="HeaderChar">
    <w:name w:val="Header Char"/>
    <w:basedOn w:val="DefaultParagraphFont"/>
    <w:link w:val="Header"/>
    <w:uiPriority w:val="99"/>
    <w:rsid w:val="00266342"/>
  </w:style>
  <w:style w:type="paragraph" w:styleId="Footer">
    <w:name w:val="footer"/>
    <w:basedOn w:val="Normal"/>
    <w:link w:val="FooterChar"/>
    <w:uiPriority w:val="99"/>
    <w:unhideWhenUsed/>
    <w:rsid w:val="00266342"/>
    <w:pPr>
      <w:tabs>
        <w:tab w:val="center" w:pos="4513"/>
        <w:tab w:val="right" w:pos="9026"/>
      </w:tabs>
      <w:spacing w:after="0" w:line="240" w:lineRule="auto"/>
    </w:pPr>
  </w:style>
  <w:style w:type="character" w:customStyle="1" w:styleId="FooterChar">
    <w:name w:val="Footer Char"/>
    <w:basedOn w:val="DefaultParagraphFont"/>
    <w:link w:val="Footer"/>
    <w:uiPriority w:val="99"/>
    <w:rsid w:val="00266342"/>
  </w:style>
  <w:style w:type="paragraph" w:styleId="BlockText">
    <w:name w:val="Block Text"/>
    <w:basedOn w:val="Normal"/>
    <w:link w:val="BlockTextChar"/>
    <w:rsid w:val="004D0920"/>
    <w:pPr>
      <w:numPr>
        <w:numId w:val="3"/>
      </w:numPr>
      <w:spacing w:after="240" w:line="360" w:lineRule="auto"/>
      <w:jc w:val="both"/>
    </w:pPr>
    <w:rPr>
      <w:rFonts w:ascii="Calibri" w:eastAsia="Times New Roman" w:hAnsi="Calibri" w:cs="Times New Roman"/>
    </w:rPr>
  </w:style>
  <w:style w:type="paragraph" w:styleId="ListBullet">
    <w:name w:val="List Bullet"/>
    <w:basedOn w:val="Normal"/>
    <w:autoRedefine/>
    <w:rsid w:val="004D0920"/>
    <w:pPr>
      <w:numPr>
        <w:numId w:val="2"/>
      </w:numPr>
      <w:spacing w:after="240" w:line="360" w:lineRule="auto"/>
      <w:ind w:left="357" w:hanging="357"/>
      <w:jc w:val="both"/>
    </w:pPr>
    <w:rPr>
      <w:rFonts w:ascii="Calibri" w:eastAsia="Times New Roman" w:hAnsi="Calibri" w:cs="Times New Roman"/>
      <w:noProof/>
    </w:rPr>
  </w:style>
  <w:style w:type="paragraph" w:customStyle="1" w:styleId="AAABodyText">
    <w:name w:val="AAA Body Text"/>
    <w:basedOn w:val="ListParagraph"/>
    <w:rsid w:val="004D0920"/>
    <w:pPr>
      <w:numPr>
        <w:numId w:val="4"/>
      </w:numPr>
      <w:tabs>
        <w:tab w:val="left" w:pos="-15168"/>
        <w:tab w:val="left" w:pos="-15026"/>
      </w:tabs>
      <w:spacing w:after="100" w:afterAutospacing="1"/>
      <w:ind w:left="0" w:firstLine="0"/>
    </w:pPr>
    <w:rPr>
      <w:rFonts w:eastAsia="Times New Roman" w:cs="Times New Roman"/>
      <w:lang w:eastAsia="en-GB"/>
    </w:rPr>
  </w:style>
  <w:style w:type="paragraph" w:customStyle="1" w:styleId="AAABodytext0">
    <w:name w:val="AAA Body text"/>
    <w:basedOn w:val="ListParagraph"/>
    <w:rsid w:val="004D0920"/>
    <w:pPr>
      <w:tabs>
        <w:tab w:val="left" w:pos="-15168"/>
        <w:tab w:val="left" w:pos="-1985"/>
      </w:tabs>
      <w:spacing w:after="100" w:afterAutospacing="1"/>
      <w:ind w:left="0"/>
    </w:pPr>
    <w:rPr>
      <w:rFonts w:eastAsia="Times New Roman" w:cs="Times New Roman"/>
      <w:lang w:eastAsia="en-GB"/>
    </w:rPr>
  </w:style>
  <w:style w:type="character" w:customStyle="1" w:styleId="BlockTextChar">
    <w:name w:val="Block Text Char"/>
    <w:link w:val="BlockText"/>
    <w:rsid w:val="004D0920"/>
    <w:rPr>
      <w:rFonts w:ascii="Calibri" w:eastAsia="Times New Roman" w:hAnsi="Calibri" w:cs="Times New Roman"/>
    </w:rPr>
  </w:style>
  <w:style w:type="paragraph" w:styleId="EndnoteText">
    <w:name w:val="endnote text"/>
    <w:basedOn w:val="Normal"/>
    <w:link w:val="EndnoteTextChar"/>
    <w:uiPriority w:val="99"/>
    <w:semiHidden/>
    <w:unhideWhenUsed/>
    <w:rsid w:val="008B1F04"/>
    <w:pPr>
      <w:spacing w:after="0" w:line="240" w:lineRule="auto"/>
    </w:pPr>
    <w:rPr>
      <w:sz w:val="20"/>
      <w:szCs w:val="20"/>
    </w:rPr>
  </w:style>
  <w:style w:type="character" w:customStyle="1" w:styleId="EndnoteTextChar">
    <w:name w:val="Endnote Text Char"/>
    <w:basedOn w:val="DefaultParagraphFont"/>
    <w:link w:val="EndnoteText"/>
    <w:uiPriority w:val="99"/>
    <w:semiHidden/>
    <w:rsid w:val="008B1F04"/>
    <w:rPr>
      <w:sz w:val="20"/>
      <w:szCs w:val="20"/>
    </w:rPr>
  </w:style>
  <w:style w:type="character" w:styleId="EndnoteReference">
    <w:name w:val="endnote reference"/>
    <w:basedOn w:val="DefaultParagraphFont"/>
    <w:uiPriority w:val="99"/>
    <w:semiHidden/>
    <w:unhideWhenUsed/>
    <w:rsid w:val="008B1F04"/>
    <w:rPr>
      <w:vertAlign w:val="superscript"/>
    </w:rPr>
  </w:style>
  <w:style w:type="character" w:styleId="CommentReference">
    <w:name w:val="annotation reference"/>
    <w:basedOn w:val="DefaultParagraphFont"/>
    <w:uiPriority w:val="99"/>
    <w:semiHidden/>
    <w:unhideWhenUsed/>
    <w:rsid w:val="00131534"/>
    <w:rPr>
      <w:sz w:val="16"/>
      <w:szCs w:val="16"/>
    </w:rPr>
  </w:style>
  <w:style w:type="paragraph" w:styleId="CommentText">
    <w:name w:val="annotation text"/>
    <w:basedOn w:val="Normal"/>
    <w:link w:val="CommentTextChar"/>
    <w:uiPriority w:val="99"/>
    <w:semiHidden/>
    <w:unhideWhenUsed/>
    <w:rsid w:val="00131534"/>
    <w:pPr>
      <w:spacing w:line="240" w:lineRule="auto"/>
    </w:pPr>
    <w:rPr>
      <w:sz w:val="20"/>
      <w:szCs w:val="20"/>
    </w:rPr>
  </w:style>
  <w:style w:type="character" w:customStyle="1" w:styleId="CommentTextChar">
    <w:name w:val="Comment Text Char"/>
    <w:basedOn w:val="DefaultParagraphFont"/>
    <w:link w:val="CommentText"/>
    <w:uiPriority w:val="99"/>
    <w:semiHidden/>
    <w:rsid w:val="00131534"/>
    <w:rPr>
      <w:sz w:val="20"/>
      <w:szCs w:val="20"/>
    </w:rPr>
  </w:style>
  <w:style w:type="paragraph" w:styleId="CommentSubject">
    <w:name w:val="annotation subject"/>
    <w:basedOn w:val="CommentText"/>
    <w:next w:val="CommentText"/>
    <w:link w:val="CommentSubjectChar"/>
    <w:uiPriority w:val="99"/>
    <w:semiHidden/>
    <w:unhideWhenUsed/>
    <w:rsid w:val="00131534"/>
    <w:rPr>
      <w:b/>
      <w:bCs/>
    </w:rPr>
  </w:style>
  <w:style w:type="character" w:customStyle="1" w:styleId="CommentSubjectChar">
    <w:name w:val="Comment Subject Char"/>
    <w:basedOn w:val="CommentTextChar"/>
    <w:link w:val="CommentSubject"/>
    <w:uiPriority w:val="99"/>
    <w:semiHidden/>
    <w:rsid w:val="00131534"/>
    <w:rPr>
      <w:b/>
      <w:bCs/>
      <w:sz w:val="20"/>
      <w:szCs w:val="20"/>
    </w:rPr>
  </w:style>
  <w:style w:type="character" w:customStyle="1" w:styleId="ListParagraphChar">
    <w:name w:val="List Paragraph Char"/>
    <w:aliases w:val="SCCRC List Paragraph Char"/>
    <w:link w:val="ListParagraph"/>
    <w:uiPriority w:val="34"/>
    <w:rsid w:val="00D715C9"/>
    <w:rPr>
      <w:rFonts w:ascii="FS Albert" w:hAnsi="FS Albert"/>
      <w:color w:val="194062"/>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59035418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footer" Target="footer1.xml"/><Relationship Id="rId18" Type="http://schemas.openxmlformats.org/officeDocument/2006/relationships/theme" Target="theme/theme1.xml"/><Relationship Id="rId3" Type="http://schemas.openxmlformats.org/officeDocument/2006/relationships/styles" Target="styles.xml"/><Relationship Id="rId7" Type="http://schemas.openxmlformats.org/officeDocument/2006/relationships/footnotes" Target="footnotes.xml"/><Relationship Id="rId12" Type="http://schemas.openxmlformats.org/officeDocument/2006/relationships/header" Target="header2.xml"/><Relationship Id="rId17" Type="http://schemas.openxmlformats.org/officeDocument/2006/relationships/fontTable" Target="fontTable.xml"/><Relationship Id="rId2" Type="http://schemas.openxmlformats.org/officeDocument/2006/relationships/numbering" Target="numbering.xml"/><Relationship Id="rId16" Type="http://schemas.openxmlformats.org/officeDocument/2006/relationships/footer" Target="footer3.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eader" Target="header1.xml"/><Relationship Id="rId5" Type="http://schemas.openxmlformats.org/officeDocument/2006/relationships/settings" Target="settings.xml"/><Relationship Id="rId15" Type="http://schemas.openxmlformats.org/officeDocument/2006/relationships/header" Target="header3.xml"/><Relationship Id="rId10" Type="http://schemas.openxmlformats.org/officeDocument/2006/relationships/image" Target="media/image2.png"/><Relationship Id="rId4" Type="http://schemas.microsoft.com/office/2007/relationships/stylesWithEffects" Target="stylesWithEffects.xml"/><Relationship Id="rId9" Type="http://schemas.openxmlformats.org/officeDocument/2006/relationships/image" Target="media/image1.wmf"/><Relationship Id="rId14" Type="http://schemas.openxmlformats.org/officeDocument/2006/relationships/footer" Target="footer2.xml"/></Relationships>
</file>

<file path=word/_rels/settings.xml.rels><?xml version="1.0" encoding="UTF-8" standalone="yes"?>
<Relationships xmlns="http://schemas.openxmlformats.org/package/2006/relationships"><Relationship Id="rId1" Type="http://schemas.openxmlformats.org/officeDocument/2006/relationships/attachedTemplate" Target="file:///C:\Users\fmaclean\AppData\Local\Microsoft\Windows\Temporary%20Internet%20Files\Content.Outlook\JLXSYUDO\Position%20Paper%20Style%202.dotx"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78E7CD54-AB08-4FA1-9000-CD08A14B7D8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Position Paper Style 2</Template>
  <TotalTime>7</TotalTime>
  <Pages>9</Pages>
  <Words>1953</Words>
  <Characters>11133</Characters>
  <Application>Microsoft Office Word</Application>
  <DocSecurity>0</DocSecurity>
  <Lines>92</Lines>
  <Paragraphs>26</Paragraphs>
  <ScaleCrop>false</ScaleCrop>
  <HeadingPairs>
    <vt:vector size="2" baseType="variant">
      <vt:variant>
        <vt:lpstr>Title</vt:lpstr>
      </vt:variant>
      <vt:variant>
        <vt:i4>1</vt:i4>
      </vt:variant>
    </vt:vector>
  </HeadingPairs>
  <TitlesOfParts>
    <vt:vector size="1" baseType="lpstr">
      <vt:lpstr/>
    </vt:vector>
  </TitlesOfParts>
  <Company>Hewlett-Packard Company</Company>
  <LinksUpToDate>false</LinksUpToDate>
  <CharactersWithSpaces>13060</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Fiona MacLean</dc:creator>
  <cp:lastModifiedBy>Daniel Fenn</cp:lastModifiedBy>
  <cp:revision>4</cp:revision>
  <cp:lastPrinted>2019-07-10T09:25:00Z</cp:lastPrinted>
  <dcterms:created xsi:type="dcterms:W3CDTF">2020-12-08T18:36:00Z</dcterms:created>
  <dcterms:modified xsi:type="dcterms:W3CDTF">2020-12-08T18:43:00Z</dcterms:modified>
</cp:coreProperties>
</file>