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11016" w:rsidRPr="00130123" w:rsidRDefault="00130123" w:rsidP="002438BE">
      <w:pPr>
        <w:spacing w:before="100" w:beforeAutospacing="1" w:after="100" w:afterAutospacing="1" w:line="360" w:lineRule="auto"/>
        <w:jc w:val="both"/>
        <w:rPr>
          <w:rFonts w:ascii="FS Albert" w:hAnsi="FS Albert"/>
          <w:color w:val="194062"/>
          <w:sz w:val="24"/>
          <w:szCs w:val="24"/>
        </w:rPr>
      </w:pPr>
      <w:r>
        <w:rPr>
          <w:rFonts w:ascii="FS Albert" w:hAnsi="FS Albert"/>
          <w:noProof/>
          <w:color w:val="194062"/>
          <w:sz w:val="24"/>
          <w:szCs w:val="24"/>
          <w:lang w:eastAsia="en-GB"/>
        </w:rPr>
        <mc:AlternateContent>
          <mc:Choice Requires="wps">
            <w:drawing>
              <wp:anchor distT="0" distB="0" distL="114300" distR="114300" simplePos="0" relativeHeight="251660288" behindDoc="0" locked="0" layoutInCell="1" allowOverlap="1" wp14:anchorId="301FA424" wp14:editId="48E8CEF2">
                <wp:simplePos x="0" y="0"/>
                <wp:positionH relativeFrom="column">
                  <wp:posOffset>3781425</wp:posOffset>
                </wp:positionH>
                <wp:positionV relativeFrom="paragraph">
                  <wp:posOffset>97155</wp:posOffset>
                </wp:positionV>
                <wp:extent cx="2038350" cy="13430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038350" cy="1343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123" w:rsidRPr="00130123" w:rsidRDefault="009B63F2">
                            <w:pPr>
                              <w:rPr>
                                <w:rFonts w:ascii="FS Albert Light" w:hAnsi="FS Albert Light"/>
                                <w:color w:val="194062"/>
                              </w:rPr>
                            </w:pPr>
                            <w:r>
                              <w:rPr>
                                <w:rFonts w:ascii="FS Albert Light" w:hAnsi="FS Albert Light"/>
                                <w:color w:val="194062"/>
                              </w:rPr>
                              <w:t>Submission Guidance</w:t>
                            </w:r>
                            <w:r w:rsidR="00130123" w:rsidRPr="00130123">
                              <w:rPr>
                                <w:rFonts w:ascii="FS Albert Light" w:hAnsi="FS Albert Light"/>
                                <w:color w:val="194062"/>
                              </w:rPr>
                              <w:t>:</w:t>
                            </w:r>
                          </w:p>
                          <w:p w:rsidR="00130123" w:rsidRPr="00130123" w:rsidRDefault="00130123">
                            <w:pPr>
                              <w:rPr>
                                <w:rFonts w:ascii="FS Albert" w:hAnsi="FS Albert"/>
                                <w:color w:val="194062"/>
                                <w:sz w:val="44"/>
                                <w:szCs w:val="44"/>
                              </w:rPr>
                            </w:pPr>
                            <w:r w:rsidRPr="00130123">
                              <w:rPr>
                                <w:rFonts w:ascii="FS Albert" w:hAnsi="FS Albert"/>
                                <w:color w:val="194062"/>
                                <w:sz w:val="44"/>
                                <w:szCs w:val="44"/>
                              </w:rPr>
                              <w:t>Unreasonable Verdict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7.75pt;margin-top:7.65pt;width:160.5pt;height:105.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" fillcolor="white [3201]" stroked="f" strokeweight=".5pt">
                <v:textbox>
                  <w:txbxContent>
                    <w:p w:rsidR="00130123" w:rsidRPr="00130123" w:rsidRDefault="009B63F2">
                      <w:pPr>
                        <w:rPr>
                          <w:rFonts w:ascii="FS Albert Light" w:hAnsi="FS Albert Light"/>
                          <w:color w:val="194062"/>
                        </w:rPr>
                      </w:pPr>
                      <w:r>
                        <w:rPr>
                          <w:rFonts w:ascii="FS Albert Light" w:hAnsi="FS Albert Light"/>
                          <w:color w:val="194062"/>
                        </w:rPr>
                        <w:t>Submission Guidance</w:t>
                      </w:r>
                      <w:r w:rsidR="00130123" w:rsidRPr="00130123">
                        <w:rPr>
                          <w:rFonts w:ascii="FS Albert Light" w:hAnsi="FS Albert Light"/>
                          <w:color w:val="194062"/>
                        </w:rPr>
                        <w:t>:</w:t>
                      </w:r>
                    </w:p>
                    <w:p w:rsidR="00130123" w:rsidRPr="00130123" w:rsidRDefault="00130123">
                      <w:pPr>
                        <w:rPr>
                          <w:rFonts w:ascii="FS Albert" w:hAnsi="FS Albert"/>
                          <w:color w:val="194062"/>
                          <w:sz w:val="44"/>
                          <w:szCs w:val="44"/>
                        </w:rPr>
                      </w:pPr>
                      <w:r w:rsidRPr="00130123">
                        <w:rPr>
                          <w:rFonts w:ascii="FS Albert" w:hAnsi="FS Albert"/>
                          <w:color w:val="194062"/>
                          <w:sz w:val="44"/>
                          <w:szCs w:val="44"/>
                        </w:rPr>
                        <w:t>Unreasonable Verdict</w:t>
                      </w:r>
                    </w:p>
                  </w:txbxContent>
                </v:textbox>
              </v:shape>
            </w:pict>
          </mc:Fallback>
        </mc:AlternateContent>
      </w:r>
      <w:r w:rsidR="00A11016" w:rsidRPr="00130123">
        <w:rPr>
          <w:rFonts w:ascii="FS Albert" w:hAnsi="FS Albert"/>
          <w:noProof/>
          <w:color w:val="194062"/>
          <w:sz w:val="24"/>
          <w:szCs w:val="24"/>
          <w:lang w:eastAsia="en-GB"/>
        </w:rPr>
        <w:drawing>
          <wp:inline distT="0" distB="0" distL="0" distR="0" wp14:anchorId="54655771" wp14:editId="4ED876FF">
            <wp:extent cx="3076575" cy="1257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6575" cy="1257300"/>
                    </a:xfrm>
                    <a:prstGeom prst="rect">
                      <a:avLst/>
                    </a:prstGeom>
                    <a:noFill/>
                    <a:ln>
                      <a:noFill/>
                    </a:ln>
                  </pic:spPr>
                </pic:pic>
              </a:graphicData>
            </a:graphic>
          </wp:inline>
        </w:drawing>
      </w:r>
    </w:p>
    <w:p w:rsidR="00DB43F1" w:rsidRPr="00897785" w:rsidRDefault="00DB43F1" w:rsidP="00DB43F1">
      <w:pPr>
        <w:spacing w:before="100" w:beforeAutospacing="1" w:after="100" w:afterAutospacing="1" w:line="360" w:lineRule="auto"/>
        <w:jc w:val="both"/>
        <w:rPr>
          <w:rFonts w:ascii="FS Albert" w:hAnsi="FS Albert"/>
          <w:color w:val="D60D52"/>
          <w:sz w:val="28"/>
          <w:szCs w:val="28"/>
        </w:rPr>
      </w:pPr>
      <w:r w:rsidRPr="0089351B">
        <w:rPr>
          <w:rFonts w:ascii="FS Albert" w:hAnsi="FS Albert"/>
          <w:color w:val="D60D52"/>
          <w:sz w:val="28"/>
          <w:szCs w:val="28"/>
        </w:rPr>
        <w:t>This paper</w:t>
      </w:r>
      <w:r>
        <w:rPr>
          <w:rFonts w:ascii="FS Albert" w:hAnsi="FS Albert"/>
          <w:color w:val="D60D52"/>
          <w:sz w:val="28"/>
          <w:szCs w:val="28"/>
        </w:rPr>
        <w:t xml:space="preserve"> is intended to provide guidance for those thinking of applying to the Commission on the basis that the verdict of the trial court was unreasonable. It</w:t>
      </w:r>
      <w:r w:rsidRPr="0089351B">
        <w:rPr>
          <w:rFonts w:ascii="FS Albert" w:hAnsi="FS Albert"/>
          <w:color w:val="D60D52"/>
          <w:sz w:val="28"/>
          <w:szCs w:val="28"/>
        </w:rPr>
        <w:t xml:space="preserve"> sets out, in </w:t>
      </w:r>
      <w:r>
        <w:rPr>
          <w:rFonts w:ascii="FS Albert" w:hAnsi="FS Albert"/>
          <w:color w:val="D60D52"/>
          <w:sz w:val="28"/>
          <w:szCs w:val="28"/>
        </w:rPr>
        <w:t xml:space="preserve">brief outline, the </w:t>
      </w:r>
      <w:proofErr w:type="gramStart"/>
      <w:r>
        <w:rPr>
          <w:rFonts w:ascii="FS Albert" w:hAnsi="FS Albert"/>
          <w:color w:val="D60D52"/>
          <w:sz w:val="28"/>
          <w:szCs w:val="28"/>
        </w:rPr>
        <w:t>Commission’s understanding</w:t>
      </w:r>
      <w:proofErr w:type="gramEnd"/>
      <w:r>
        <w:rPr>
          <w:rFonts w:ascii="FS Albert" w:hAnsi="FS Albert"/>
          <w:color w:val="D60D52"/>
          <w:sz w:val="28"/>
          <w:szCs w:val="28"/>
        </w:rPr>
        <w:t xml:space="preserve"> of the key principles of law. It then explains the information that the Commission is likely to require in different categories of case. For a fuller explanation of the Commission’s understanding of this area of law, see the Commission’s more detailed position paper.</w:t>
      </w:r>
    </w:p>
    <w:p w:rsidR="00130123" w:rsidRDefault="00130123" w:rsidP="006E3CBB">
      <w:pPr>
        <w:spacing w:before="100" w:beforeAutospacing="1" w:after="100" w:afterAutospacing="1" w:line="360" w:lineRule="auto"/>
        <w:jc w:val="both"/>
        <w:rPr>
          <w:rFonts w:ascii="FS Albert" w:hAnsi="FS Albert"/>
          <w:color w:val="194062"/>
          <w:sz w:val="24"/>
          <w:szCs w:val="24"/>
        </w:rPr>
      </w:pPr>
      <w:r w:rsidRPr="00130123">
        <w:rPr>
          <w:rFonts w:ascii="FS Albert" w:hAnsi="FS Albert"/>
          <w:b/>
          <w:noProof/>
          <w:color w:val="194062"/>
          <w:sz w:val="32"/>
          <w:szCs w:val="32"/>
          <w:lang w:eastAsia="en-GB"/>
        </w:rPr>
        <mc:AlternateContent>
          <mc:Choice Requires="wps">
            <w:drawing>
              <wp:anchor distT="0" distB="0" distL="114300" distR="114300" simplePos="0" relativeHeight="251662336" behindDoc="0" locked="0" layoutInCell="1" allowOverlap="1" wp14:anchorId="3D6F2288" wp14:editId="6B8C91B9">
                <wp:simplePos x="0" y="0"/>
                <wp:positionH relativeFrom="column">
                  <wp:posOffset>0</wp:posOffset>
                </wp:positionH>
                <wp:positionV relativeFrom="paragraph">
                  <wp:posOffset>41910</wp:posOffset>
                </wp:positionV>
                <wp:extent cx="5670550" cy="2819400"/>
                <wp:effectExtent l="0" t="0" r="2540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0" cy="2819400"/>
                        </a:xfrm>
                        <a:prstGeom prst="rect">
                          <a:avLst/>
                        </a:prstGeom>
                        <a:solidFill>
                          <a:srgbClr val="FBB7D3"/>
                        </a:solidFill>
                        <a:ln w="9525">
                          <a:solidFill>
                            <a:srgbClr val="FBB7D3"/>
                          </a:solidFill>
                          <a:miter lim="800000"/>
                          <a:headEnd/>
                          <a:tailEnd/>
                        </a:ln>
                      </wps:spPr>
                      <wps:txbx>
                        <w:txbxContent>
                          <w:p w:rsidR="00130123" w:rsidRPr="00F9515B" w:rsidRDefault="00130123" w:rsidP="00130123">
                            <w:pPr>
                              <w:ind w:firstLine="720"/>
                              <w:rPr>
                                <w:rFonts w:ascii="FS Albert" w:hAnsi="FS Albert"/>
                                <w:b/>
                                <w:color w:val="194062"/>
                                <w:sz w:val="24"/>
                                <w:szCs w:val="24"/>
                              </w:rPr>
                            </w:pPr>
                            <w:r>
                              <w:rPr>
                                <w:rFonts w:ascii="FS Albert" w:hAnsi="FS Albert"/>
                                <w:b/>
                                <w:color w:val="194062"/>
                                <w:sz w:val="24"/>
                                <w:szCs w:val="24"/>
                              </w:rPr>
                              <w:t>Unreasonable Verdict – i</w:t>
                            </w:r>
                            <w:r w:rsidRPr="00F9515B">
                              <w:rPr>
                                <w:rFonts w:ascii="FS Albert" w:hAnsi="FS Albert"/>
                                <w:b/>
                                <w:color w:val="194062"/>
                                <w:sz w:val="24"/>
                                <w:szCs w:val="24"/>
                              </w:rPr>
                              <w:t>n Brief</w:t>
                            </w:r>
                          </w:p>
                          <w:p w:rsidR="00130123" w:rsidRDefault="0089351B" w:rsidP="00DB43F1">
                            <w:pPr>
                              <w:pStyle w:val="ListParagraph"/>
                              <w:numPr>
                                <w:ilvl w:val="0"/>
                                <w:numId w:val="18"/>
                              </w:numPr>
                              <w:ind w:left="714" w:hanging="357"/>
                              <w:contextualSpacing w:val="0"/>
                              <w:rPr>
                                <w:rFonts w:ascii="FS Albert" w:hAnsi="FS Albert"/>
                                <w:color w:val="194062"/>
                                <w:sz w:val="24"/>
                                <w:szCs w:val="24"/>
                              </w:rPr>
                            </w:pPr>
                            <w:r>
                              <w:rPr>
                                <w:rFonts w:ascii="FS Albert" w:hAnsi="FS Albert"/>
                                <w:color w:val="194062"/>
                                <w:sz w:val="24"/>
                                <w:szCs w:val="24"/>
                              </w:rPr>
                              <w:t>An “unreasonable verdict” is a decision to convict that no reasonable jury could have reached.</w:t>
                            </w:r>
                          </w:p>
                          <w:p w:rsidR="0089351B" w:rsidRDefault="0089351B" w:rsidP="00DB43F1">
                            <w:pPr>
                              <w:pStyle w:val="ListParagraph"/>
                              <w:numPr>
                                <w:ilvl w:val="0"/>
                                <w:numId w:val="18"/>
                              </w:numPr>
                              <w:ind w:left="714" w:hanging="357"/>
                              <w:contextualSpacing w:val="0"/>
                              <w:rPr>
                                <w:rFonts w:ascii="FS Albert" w:hAnsi="FS Albert"/>
                                <w:color w:val="194062"/>
                                <w:sz w:val="24"/>
                                <w:szCs w:val="24"/>
                              </w:rPr>
                            </w:pPr>
                            <w:r>
                              <w:rPr>
                                <w:rFonts w:ascii="FS Albert" w:hAnsi="FS Albert"/>
                                <w:color w:val="194062"/>
                                <w:sz w:val="24"/>
                                <w:szCs w:val="24"/>
                              </w:rPr>
                              <w:t xml:space="preserve">The court applies a very high standard to these grounds of appeal. </w:t>
                            </w:r>
                          </w:p>
                          <w:p w:rsidR="0089351B" w:rsidRDefault="0089351B" w:rsidP="00DB43F1">
                            <w:pPr>
                              <w:pStyle w:val="ListParagraph"/>
                              <w:numPr>
                                <w:ilvl w:val="0"/>
                                <w:numId w:val="18"/>
                              </w:numPr>
                              <w:ind w:left="714" w:hanging="357"/>
                              <w:contextualSpacing w:val="0"/>
                              <w:rPr>
                                <w:rFonts w:ascii="FS Albert" w:hAnsi="FS Albert"/>
                                <w:color w:val="194062"/>
                                <w:sz w:val="24"/>
                                <w:szCs w:val="24"/>
                              </w:rPr>
                            </w:pPr>
                            <w:r>
                              <w:rPr>
                                <w:rFonts w:ascii="FS Albert" w:hAnsi="FS Albert"/>
                                <w:color w:val="194062"/>
                                <w:sz w:val="24"/>
                                <w:szCs w:val="24"/>
                              </w:rPr>
                              <w:t xml:space="preserve">It is very difficult to convince the court that Crown evidence is so poor that it should interfere with a conviction. </w:t>
                            </w:r>
                          </w:p>
                          <w:p w:rsidR="0089351B" w:rsidRDefault="0089351B" w:rsidP="00DB43F1">
                            <w:pPr>
                              <w:pStyle w:val="ListParagraph"/>
                              <w:numPr>
                                <w:ilvl w:val="0"/>
                                <w:numId w:val="18"/>
                              </w:numPr>
                              <w:ind w:left="714" w:hanging="357"/>
                              <w:contextualSpacing w:val="0"/>
                              <w:rPr>
                                <w:rFonts w:ascii="FS Albert" w:hAnsi="FS Albert"/>
                                <w:color w:val="194062"/>
                                <w:sz w:val="24"/>
                                <w:szCs w:val="24"/>
                              </w:rPr>
                            </w:pPr>
                            <w:r>
                              <w:rPr>
                                <w:rFonts w:ascii="FS Albert" w:hAnsi="FS Albert"/>
                                <w:color w:val="194062"/>
                                <w:sz w:val="24"/>
                                <w:szCs w:val="24"/>
                              </w:rPr>
                              <w:t>If the jury’s verdict is obviously irrational (cannot be rationally explained), the ground may succeed.</w:t>
                            </w:r>
                          </w:p>
                          <w:p w:rsidR="0089351B" w:rsidRPr="00F9515B" w:rsidRDefault="0089351B" w:rsidP="00DB43F1">
                            <w:pPr>
                              <w:pStyle w:val="ListParagraph"/>
                              <w:numPr>
                                <w:ilvl w:val="0"/>
                                <w:numId w:val="18"/>
                              </w:numPr>
                              <w:ind w:left="714" w:hanging="357"/>
                              <w:contextualSpacing w:val="0"/>
                              <w:rPr>
                                <w:rFonts w:ascii="FS Albert" w:hAnsi="FS Albert"/>
                                <w:color w:val="194062"/>
                                <w:sz w:val="24"/>
                                <w:szCs w:val="24"/>
                              </w:rPr>
                            </w:pPr>
                            <w:r>
                              <w:rPr>
                                <w:rFonts w:ascii="FS Albert" w:hAnsi="FS Albert"/>
                                <w:color w:val="194062"/>
                                <w:sz w:val="24"/>
                                <w:szCs w:val="24"/>
                              </w:rPr>
                              <w:t>It is possible to challenge the verdict of a sheriff or JP as well.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0;margin-top:3.3pt;width:446.5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" fillcolor="#fbb7d3" strokecolor="#fbb7d3">
                <v:textbox>
                  <w:txbxContent>
                    <w:p w:rsidR="00130123" w:rsidRPr="00F9515B" w:rsidRDefault="00130123" w:rsidP="00130123">
                      <w:pPr>
                        <w:ind w:firstLine="720"/>
                        <w:rPr>
                          <w:rFonts w:ascii="FS Albert" w:hAnsi="FS Albert"/>
                          <w:b/>
                          <w:color w:val="194062"/>
                          <w:sz w:val="24"/>
                          <w:szCs w:val="24"/>
                        </w:rPr>
                      </w:pPr>
                      <w:r>
                        <w:rPr>
                          <w:rFonts w:ascii="FS Albert" w:hAnsi="FS Albert"/>
                          <w:b/>
                          <w:color w:val="194062"/>
                          <w:sz w:val="24"/>
                          <w:szCs w:val="24"/>
                        </w:rPr>
                        <w:t>Unreasonable Verdict – i</w:t>
                      </w:r>
                      <w:r w:rsidRPr="00F9515B">
                        <w:rPr>
                          <w:rFonts w:ascii="FS Albert" w:hAnsi="FS Albert"/>
                          <w:b/>
                          <w:color w:val="194062"/>
                          <w:sz w:val="24"/>
                          <w:szCs w:val="24"/>
                        </w:rPr>
                        <w:t>n Brief</w:t>
                      </w:r>
                    </w:p>
                    <w:p w:rsidR="00130123" w:rsidRDefault="0089351B" w:rsidP="00DB43F1">
                      <w:pPr>
                        <w:pStyle w:val="ListParagraph"/>
                        <w:numPr>
                          <w:ilvl w:val="0"/>
                          <w:numId w:val="18"/>
                        </w:numPr>
                        <w:ind w:left="714" w:hanging="357"/>
                        <w:contextualSpacing w:val="0"/>
                        <w:rPr>
                          <w:rFonts w:ascii="FS Albert" w:hAnsi="FS Albert"/>
                          <w:color w:val="194062"/>
                          <w:sz w:val="24"/>
                          <w:szCs w:val="24"/>
                        </w:rPr>
                      </w:pPr>
                      <w:r>
                        <w:rPr>
                          <w:rFonts w:ascii="FS Albert" w:hAnsi="FS Albert"/>
                          <w:color w:val="194062"/>
                          <w:sz w:val="24"/>
                          <w:szCs w:val="24"/>
                        </w:rPr>
                        <w:t>An “unreasonable verdict” is a decision to convict that no reasonable jury could have reached.</w:t>
                      </w:r>
                    </w:p>
                    <w:p w:rsidR="0089351B" w:rsidRDefault="0089351B" w:rsidP="00DB43F1">
                      <w:pPr>
                        <w:pStyle w:val="ListParagraph"/>
                        <w:numPr>
                          <w:ilvl w:val="0"/>
                          <w:numId w:val="18"/>
                        </w:numPr>
                        <w:ind w:left="714" w:hanging="357"/>
                        <w:contextualSpacing w:val="0"/>
                        <w:rPr>
                          <w:rFonts w:ascii="FS Albert" w:hAnsi="FS Albert"/>
                          <w:color w:val="194062"/>
                          <w:sz w:val="24"/>
                          <w:szCs w:val="24"/>
                        </w:rPr>
                      </w:pPr>
                      <w:r>
                        <w:rPr>
                          <w:rFonts w:ascii="FS Albert" w:hAnsi="FS Albert"/>
                          <w:color w:val="194062"/>
                          <w:sz w:val="24"/>
                          <w:szCs w:val="24"/>
                        </w:rPr>
                        <w:t xml:space="preserve">The court applies a very high standard to these grounds of appeal. </w:t>
                      </w:r>
                    </w:p>
                    <w:p w:rsidR="0089351B" w:rsidRDefault="0089351B" w:rsidP="00DB43F1">
                      <w:pPr>
                        <w:pStyle w:val="ListParagraph"/>
                        <w:numPr>
                          <w:ilvl w:val="0"/>
                          <w:numId w:val="18"/>
                        </w:numPr>
                        <w:ind w:left="714" w:hanging="357"/>
                        <w:contextualSpacing w:val="0"/>
                        <w:rPr>
                          <w:rFonts w:ascii="FS Albert" w:hAnsi="FS Albert"/>
                          <w:color w:val="194062"/>
                          <w:sz w:val="24"/>
                          <w:szCs w:val="24"/>
                        </w:rPr>
                      </w:pPr>
                      <w:r>
                        <w:rPr>
                          <w:rFonts w:ascii="FS Albert" w:hAnsi="FS Albert"/>
                          <w:color w:val="194062"/>
                          <w:sz w:val="24"/>
                          <w:szCs w:val="24"/>
                        </w:rPr>
                        <w:t xml:space="preserve">It is very difficult to convince the court that Crown evidence is so poor that it should interfere with a conviction. </w:t>
                      </w:r>
                    </w:p>
                    <w:p w:rsidR="0089351B" w:rsidRDefault="0089351B" w:rsidP="00DB43F1">
                      <w:pPr>
                        <w:pStyle w:val="ListParagraph"/>
                        <w:numPr>
                          <w:ilvl w:val="0"/>
                          <w:numId w:val="18"/>
                        </w:numPr>
                        <w:ind w:left="714" w:hanging="357"/>
                        <w:contextualSpacing w:val="0"/>
                        <w:rPr>
                          <w:rFonts w:ascii="FS Albert" w:hAnsi="FS Albert"/>
                          <w:color w:val="194062"/>
                          <w:sz w:val="24"/>
                          <w:szCs w:val="24"/>
                        </w:rPr>
                      </w:pPr>
                      <w:r>
                        <w:rPr>
                          <w:rFonts w:ascii="FS Albert" w:hAnsi="FS Albert"/>
                          <w:color w:val="194062"/>
                          <w:sz w:val="24"/>
                          <w:szCs w:val="24"/>
                        </w:rPr>
                        <w:t>If the jury’s verdict is obviously irrational (cannot be rationally explained), the ground may succeed.</w:t>
                      </w:r>
                    </w:p>
                    <w:p w:rsidR="0089351B" w:rsidRPr="00F9515B" w:rsidRDefault="0089351B" w:rsidP="00DB43F1">
                      <w:pPr>
                        <w:pStyle w:val="ListParagraph"/>
                        <w:numPr>
                          <w:ilvl w:val="0"/>
                          <w:numId w:val="18"/>
                        </w:numPr>
                        <w:ind w:left="714" w:hanging="357"/>
                        <w:contextualSpacing w:val="0"/>
                        <w:rPr>
                          <w:rFonts w:ascii="FS Albert" w:hAnsi="FS Albert"/>
                          <w:color w:val="194062"/>
                          <w:sz w:val="24"/>
                          <w:szCs w:val="24"/>
                        </w:rPr>
                      </w:pPr>
                      <w:r>
                        <w:rPr>
                          <w:rFonts w:ascii="FS Albert" w:hAnsi="FS Albert"/>
                          <w:color w:val="194062"/>
                          <w:sz w:val="24"/>
                          <w:szCs w:val="24"/>
                        </w:rPr>
                        <w:t>It is possible to challenge the verdict of a sheriff or JP as well.</w:t>
                      </w:r>
                      <w:bookmarkStart w:id="1" w:name="_GoBack"/>
                      <w:bookmarkEnd w:id="1"/>
                    </w:p>
                  </w:txbxContent>
                </v:textbox>
              </v:shape>
            </w:pict>
          </mc:Fallback>
        </mc:AlternateContent>
      </w:r>
    </w:p>
    <w:p w:rsidR="00130123" w:rsidRDefault="00130123" w:rsidP="006E3CBB">
      <w:pPr>
        <w:spacing w:before="100" w:beforeAutospacing="1" w:after="100" w:afterAutospacing="1" w:line="360" w:lineRule="auto"/>
        <w:jc w:val="both"/>
        <w:rPr>
          <w:rFonts w:ascii="FS Albert" w:hAnsi="FS Albert"/>
          <w:color w:val="194062"/>
          <w:sz w:val="24"/>
          <w:szCs w:val="24"/>
        </w:rPr>
      </w:pPr>
    </w:p>
    <w:p w:rsidR="00130123" w:rsidRDefault="00130123" w:rsidP="006E3CBB">
      <w:pPr>
        <w:spacing w:before="100" w:beforeAutospacing="1" w:after="100" w:afterAutospacing="1" w:line="360" w:lineRule="auto"/>
        <w:jc w:val="both"/>
        <w:rPr>
          <w:rFonts w:ascii="FS Albert" w:hAnsi="FS Albert"/>
          <w:color w:val="194062"/>
          <w:sz w:val="24"/>
          <w:szCs w:val="24"/>
        </w:rPr>
      </w:pPr>
    </w:p>
    <w:p w:rsidR="00130123" w:rsidRDefault="00130123" w:rsidP="006E3CBB">
      <w:pPr>
        <w:spacing w:before="100" w:beforeAutospacing="1" w:after="100" w:afterAutospacing="1" w:line="360" w:lineRule="auto"/>
        <w:jc w:val="both"/>
        <w:rPr>
          <w:rFonts w:ascii="FS Albert" w:hAnsi="FS Albert"/>
          <w:color w:val="194062"/>
          <w:sz w:val="24"/>
          <w:szCs w:val="24"/>
        </w:rPr>
      </w:pPr>
    </w:p>
    <w:p w:rsidR="00130123" w:rsidRDefault="00130123" w:rsidP="006E3CBB">
      <w:pPr>
        <w:spacing w:before="100" w:beforeAutospacing="1" w:after="100" w:afterAutospacing="1" w:line="360" w:lineRule="auto"/>
        <w:jc w:val="both"/>
        <w:rPr>
          <w:rFonts w:ascii="FS Albert" w:hAnsi="FS Albert"/>
          <w:color w:val="194062"/>
          <w:sz w:val="24"/>
          <w:szCs w:val="24"/>
        </w:rPr>
      </w:pPr>
    </w:p>
    <w:p w:rsidR="00A11016" w:rsidRDefault="00A11016" w:rsidP="006E3CBB">
      <w:pPr>
        <w:spacing w:before="100" w:beforeAutospacing="1" w:after="100" w:afterAutospacing="1" w:line="360" w:lineRule="auto"/>
        <w:jc w:val="both"/>
        <w:rPr>
          <w:rFonts w:ascii="FS Albert" w:hAnsi="FS Albert"/>
          <w:color w:val="194062"/>
          <w:sz w:val="24"/>
          <w:szCs w:val="24"/>
        </w:rPr>
      </w:pPr>
    </w:p>
    <w:p w:rsidR="00DB43F1" w:rsidRDefault="00DB43F1" w:rsidP="006E3CBB">
      <w:pPr>
        <w:spacing w:before="100" w:beforeAutospacing="1" w:after="100" w:afterAutospacing="1" w:line="360" w:lineRule="auto"/>
        <w:jc w:val="both"/>
        <w:rPr>
          <w:rFonts w:ascii="FS Albert" w:hAnsi="FS Albert"/>
          <w:color w:val="194062"/>
          <w:sz w:val="24"/>
          <w:szCs w:val="24"/>
        </w:rPr>
      </w:pPr>
    </w:p>
    <w:p w:rsidR="00DB43F1" w:rsidRDefault="00DB43F1" w:rsidP="006E3CBB">
      <w:pPr>
        <w:spacing w:before="100" w:beforeAutospacing="1" w:after="100" w:afterAutospacing="1" w:line="360" w:lineRule="auto"/>
        <w:jc w:val="both"/>
        <w:rPr>
          <w:rFonts w:ascii="FS Albert" w:hAnsi="FS Albert"/>
          <w:color w:val="194062"/>
          <w:sz w:val="24"/>
          <w:szCs w:val="24"/>
        </w:rPr>
      </w:pPr>
    </w:p>
    <w:p w:rsidR="00DB43F1" w:rsidRDefault="00DB43F1" w:rsidP="006E3CBB">
      <w:pPr>
        <w:spacing w:before="100" w:beforeAutospacing="1" w:after="100" w:afterAutospacing="1" w:line="360" w:lineRule="auto"/>
        <w:jc w:val="both"/>
        <w:rPr>
          <w:rFonts w:ascii="FS Albert" w:hAnsi="FS Albert"/>
          <w:color w:val="194062"/>
          <w:sz w:val="24"/>
          <w:szCs w:val="24"/>
        </w:rPr>
      </w:pPr>
    </w:p>
    <w:p w:rsidR="00DB43F1" w:rsidRDefault="00DB43F1" w:rsidP="006E3CBB">
      <w:pPr>
        <w:spacing w:before="100" w:beforeAutospacing="1" w:after="100" w:afterAutospacing="1" w:line="360" w:lineRule="auto"/>
        <w:jc w:val="both"/>
        <w:rPr>
          <w:rFonts w:ascii="FS Albert" w:hAnsi="FS Albert"/>
          <w:color w:val="194062"/>
          <w:sz w:val="24"/>
          <w:szCs w:val="24"/>
        </w:rPr>
      </w:pPr>
    </w:p>
    <w:p w:rsidR="00DB43F1" w:rsidRDefault="00DB43F1" w:rsidP="006E3CBB">
      <w:pPr>
        <w:spacing w:before="100" w:beforeAutospacing="1" w:after="100" w:afterAutospacing="1" w:line="360" w:lineRule="auto"/>
        <w:jc w:val="both"/>
        <w:rPr>
          <w:rFonts w:ascii="FS Albert" w:hAnsi="FS Albert"/>
          <w:color w:val="194062"/>
          <w:sz w:val="24"/>
          <w:szCs w:val="24"/>
        </w:rPr>
      </w:pPr>
    </w:p>
    <w:p w:rsidR="00DB43F1" w:rsidRDefault="00DB43F1" w:rsidP="006E3CBB">
      <w:pPr>
        <w:spacing w:before="100" w:beforeAutospacing="1" w:after="100" w:afterAutospacing="1" w:line="360" w:lineRule="auto"/>
        <w:jc w:val="both"/>
        <w:rPr>
          <w:rFonts w:ascii="FS Albert" w:hAnsi="FS Albert"/>
          <w:color w:val="194062"/>
          <w:sz w:val="24"/>
          <w:szCs w:val="24"/>
        </w:rPr>
      </w:pPr>
    </w:p>
    <w:p w:rsidR="00DB43F1" w:rsidRDefault="00DB43F1" w:rsidP="006E3CBB">
      <w:pPr>
        <w:spacing w:before="100" w:beforeAutospacing="1" w:after="100" w:afterAutospacing="1" w:line="360" w:lineRule="auto"/>
        <w:jc w:val="both"/>
        <w:rPr>
          <w:rFonts w:ascii="FS Albert" w:hAnsi="FS Albert"/>
          <w:color w:val="194062"/>
          <w:sz w:val="24"/>
          <w:szCs w:val="24"/>
        </w:rPr>
      </w:pPr>
    </w:p>
    <w:p w:rsidR="009B63F2" w:rsidRDefault="009B63F2" w:rsidP="006E3CBB">
      <w:pPr>
        <w:spacing w:before="100" w:beforeAutospacing="1" w:after="100" w:afterAutospacing="1" w:line="360" w:lineRule="auto"/>
        <w:jc w:val="both"/>
        <w:rPr>
          <w:rFonts w:ascii="FS Albert" w:hAnsi="FS Albert"/>
          <w:color w:val="194062"/>
          <w:sz w:val="24"/>
          <w:szCs w:val="24"/>
        </w:rPr>
      </w:pPr>
    </w:p>
    <w:p w:rsidR="00DB43F1" w:rsidRDefault="000C223D" w:rsidP="006E3CBB">
      <w:pPr>
        <w:spacing w:before="100" w:beforeAutospacing="1" w:after="100" w:afterAutospacing="1" w:line="360" w:lineRule="auto"/>
        <w:jc w:val="both"/>
        <w:rPr>
          <w:rFonts w:ascii="FS Albert" w:hAnsi="FS Albert"/>
          <w:color w:val="194062"/>
          <w:sz w:val="24"/>
          <w:szCs w:val="24"/>
        </w:rPr>
        <w:sectPr w:rsidR="00DB43F1" w:rsidSect="00125005">
          <w:headerReference w:type="default" r:id="rId10"/>
          <w:footerReference w:type="default" r:id="rId11"/>
          <w:pgSz w:w="11906" w:h="16838"/>
          <w:pgMar w:top="1440" w:right="1440" w:bottom="1276" w:left="1440" w:header="708" w:footer="708" w:gutter="0"/>
          <w:cols w:space="708"/>
          <w:docGrid w:linePitch="360"/>
        </w:sectPr>
      </w:pPr>
      <w:r>
        <w:rPr>
          <w:rFonts w:ascii="FS Albert" w:hAnsi="FS Albert"/>
          <w:color w:val="194062"/>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492.75pt">
            <v:imagedata r:id="rId12" o:title="unreasonable verdict draft 4"/>
          </v:shape>
        </w:pict>
      </w:r>
    </w:p>
    <w:p w:rsidR="001B6C8B" w:rsidRPr="00442A3C" w:rsidRDefault="001B6C8B" w:rsidP="001B6C8B">
      <w:pPr>
        <w:spacing w:before="120" w:after="240" w:line="360" w:lineRule="auto"/>
        <w:jc w:val="both"/>
        <w:rPr>
          <w:rFonts w:ascii="FS Albert" w:hAnsi="FS Albert"/>
          <w:sz w:val="24"/>
          <w:szCs w:val="24"/>
        </w:rPr>
      </w:pPr>
      <w:r>
        <w:rPr>
          <w:rFonts w:ascii="FS Albert" w:hAnsi="FS Albert"/>
          <w:noProof/>
          <w:color w:val="194062"/>
          <w:sz w:val="24"/>
          <w:szCs w:val="24"/>
          <w:lang w:eastAsia="en-GB"/>
        </w:rPr>
        <w:lastRenderedPageBreak/>
        <mc:AlternateContent>
          <mc:Choice Requires="wps">
            <w:drawing>
              <wp:anchor distT="0" distB="0" distL="114300" distR="114300" simplePos="0" relativeHeight="251664384" behindDoc="0" locked="0" layoutInCell="1" allowOverlap="1" wp14:anchorId="3738BE49" wp14:editId="16E8CE30">
                <wp:simplePos x="0" y="0"/>
                <wp:positionH relativeFrom="column">
                  <wp:posOffset>3552825</wp:posOffset>
                </wp:positionH>
                <wp:positionV relativeFrom="paragraph">
                  <wp:posOffset>209549</wp:posOffset>
                </wp:positionV>
                <wp:extent cx="2041525" cy="11334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2041525" cy="1133475"/>
                        </a:xfrm>
                        <a:prstGeom prst="rect">
                          <a:avLst/>
                        </a:prstGeom>
                        <a:solidFill>
                          <a:sysClr val="window" lastClr="FFFFFF"/>
                        </a:solidFill>
                        <a:ln w="6350">
                          <a:noFill/>
                        </a:ln>
                        <a:effectLst/>
                      </wps:spPr>
                      <wps:txbx>
                        <w:txbxContent>
                          <w:p w:rsidR="001B6C8B" w:rsidRPr="00130123" w:rsidRDefault="001B6C8B" w:rsidP="001B6C8B">
                            <w:pPr>
                              <w:rPr>
                                <w:rFonts w:ascii="FS Albert Light" w:hAnsi="FS Albert Light"/>
                                <w:color w:val="194062"/>
                              </w:rPr>
                            </w:pPr>
                            <w:r w:rsidRPr="00130123">
                              <w:rPr>
                                <w:rFonts w:ascii="FS Albert Light" w:hAnsi="FS Albert Light"/>
                                <w:color w:val="194062"/>
                              </w:rPr>
                              <w:t>Position Paper:</w:t>
                            </w:r>
                          </w:p>
                          <w:p w:rsidR="001B6C8B" w:rsidRPr="00130123" w:rsidRDefault="001B6C8B" w:rsidP="001B6C8B">
                            <w:pPr>
                              <w:rPr>
                                <w:rFonts w:ascii="FS Albert" w:hAnsi="FS Albert"/>
                                <w:color w:val="194062"/>
                                <w:sz w:val="44"/>
                                <w:szCs w:val="44"/>
                              </w:rPr>
                            </w:pPr>
                            <w:r>
                              <w:rPr>
                                <w:rFonts w:ascii="FS Albert" w:hAnsi="FS Albert"/>
                                <w:color w:val="194062"/>
                                <w:sz w:val="44"/>
                                <w:szCs w:val="44"/>
                              </w:rPr>
                              <w:t>Unreasonable Verdict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279.75pt;margin-top:16.5pt;width:160.75pt;height:8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" fillcolor="window" stroked="f" strokeweight=".5pt">
                <v:textbox>
                  <w:txbxContent>
                    <w:p w:rsidR="001B6C8B" w:rsidRPr="00130123" w:rsidRDefault="001B6C8B" w:rsidP="001B6C8B">
                      <w:pPr>
                        <w:rPr>
                          <w:rFonts w:ascii="FS Albert Light" w:hAnsi="FS Albert Light"/>
                          <w:color w:val="194062"/>
                        </w:rPr>
                      </w:pPr>
                      <w:r w:rsidRPr="00130123">
                        <w:rPr>
                          <w:rFonts w:ascii="FS Albert Light" w:hAnsi="FS Albert Light"/>
                          <w:color w:val="194062"/>
                        </w:rPr>
                        <w:t>Position Paper:</w:t>
                      </w:r>
                    </w:p>
                    <w:p w:rsidR="001B6C8B" w:rsidRPr="00130123" w:rsidRDefault="001B6C8B" w:rsidP="001B6C8B">
                      <w:pPr>
                        <w:rPr>
                          <w:rFonts w:ascii="FS Albert" w:hAnsi="FS Albert"/>
                          <w:color w:val="194062"/>
                          <w:sz w:val="44"/>
                          <w:szCs w:val="44"/>
                        </w:rPr>
                      </w:pPr>
                      <w:r>
                        <w:rPr>
                          <w:rFonts w:ascii="FS Albert" w:hAnsi="FS Albert"/>
                          <w:color w:val="194062"/>
                          <w:sz w:val="44"/>
                          <w:szCs w:val="44"/>
                        </w:rPr>
                        <w:t>Unreasonable Verdict</w:t>
                      </w:r>
                    </w:p>
                  </w:txbxContent>
                </v:textbox>
              </v:shape>
            </w:pict>
          </mc:Fallback>
        </mc:AlternateContent>
      </w:r>
      <w:r w:rsidRPr="00442A3C">
        <w:rPr>
          <w:rFonts w:ascii="FS Albert" w:hAnsi="FS Albert"/>
          <w:noProof/>
          <w:sz w:val="24"/>
          <w:szCs w:val="24"/>
          <w:lang w:eastAsia="en-GB"/>
        </w:rPr>
        <w:drawing>
          <wp:inline distT="0" distB="0" distL="0" distR="0" wp14:anchorId="7C3ACED7" wp14:editId="771E1247">
            <wp:extent cx="3076575" cy="1257300"/>
            <wp:effectExtent l="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6575" cy="1257300"/>
                    </a:xfrm>
                    <a:prstGeom prst="rect">
                      <a:avLst/>
                    </a:prstGeom>
                    <a:noFill/>
                    <a:ln>
                      <a:noFill/>
                    </a:ln>
                  </pic:spPr>
                </pic:pic>
              </a:graphicData>
            </a:graphic>
          </wp:inline>
        </w:drawing>
      </w:r>
    </w:p>
    <w:p w:rsidR="00DB43F1" w:rsidRPr="001B6C8B" w:rsidRDefault="001B6C8B" w:rsidP="006E3CBB">
      <w:pPr>
        <w:spacing w:before="100" w:beforeAutospacing="1" w:after="100" w:afterAutospacing="1" w:line="360" w:lineRule="auto"/>
        <w:jc w:val="both"/>
        <w:rPr>
          <w:rFonts w:ascii="FS Albert" w:hAnsi="FS Albert"/>
          <w:color w:val="D60D52"/>
          <w:sz w:val="28"/>
          <w:szCs w:val="28"/>
        </w:rPr>
      </w:pPr>
      <w:r w:rsidRPr="0089351B">
        <w:rPr>
          <w:rFonts w:ascii="FS Albert" w:hAnsi="FS Albert"/>
          <w:color w:val="D60D52"/>
          <w:sz w:val="28"/>
          <w:szCs w:val="28"/>
        </w:rPr>
        <w:t xml:space="preserve">This paper sets out, in broad terms, the Commission’s approach when dealing with this area of law. </w:t>
      </w:r>
    </w:p>
    <w:p w:rsidR="00A11016" w:rsidRPr="009B63F2" w:rsidRDefault="00A11016" w:rsidP="006E3CBB">
      <w:pPr>
        <w:spacing w:before="100" w:beforeAutospacing="1" w:after="100" w:afterAutospacing="1" w:line="360" w:lineRule="auto"/>
        <w:jc w:val="both"/>
        <w:rPr>
          <w:rFonts w:ascii="FS Albert" w:hAnsi="FS Albert"/>
          <w:b/>
          <w:color w:val="194062"/>
          <w:sz w:val="32"/>
          <w:szCs w:val="32"/>
        </w:rPr>
      </w:pPr>
      <w:r w:rsidRPr="009B63F2">
        <w:rPr>
          <w:rFonts w:ascii="FS Albert" w:hAnsi="FS Albert"/>
          <w:b/>
          <w:color w:val="194062"/>
          <w:sz w:val="32"/>
          <w:szCs w:val="32"/>
        </w:rPr>
        <w:t>Introduction</w:t>
      </w:r>
    </w:p>
    <w:p w:rsidR="000F05F7" w:rsidRPr="00B52A56" w:rsidRDefault="009B63F2" w:rsidP="00B52A56">
      <w:pPr>
        <w:pStyle w:val="ListParagraph"/>
        <w:numPr>
          <w:ilvl w:val="0"/>
          <w:numId w:val="12"/>
        </w:numPr>
        <w:tabs>
          <w:tab w:val="left" w:pos="567"/>
        </w:tabs>
        <w:autoSpaceDE w:val="0"/>
        <w:autoSpaceDN w:val="0"/>
        <w:adjustRightInd w:val="0"/>
        <w:spacing w:before="100" w:beforeAutospacing="1" w:after="120" w:line="360" w:lineRule="auto"/>
        <w:ind w:left="0" w:firstLine="0"/>
        <w:contextualSpacing w:val="0"/>
        <w:jc w:val="both"/>
        <w:rPr>
          <w:rFonts w:ascii="FS Albert" w:hAnsi="FS Albert" w:cs="Sabon-Roman"/>
          <w:color w:val="194062"/>
          <w:sz w:val="24"/>
          <w:szCs w:val="24"/>
        </w:rPr>
      </w:pPr>
      <w:r>
        <w:rPr>
          <w:rFonts w:ascii="FS Albert" w:hAnsi="FS Albert" w:cs="Sabon-Roman"/>
          <w:color w:val="194062"/>
          <w:sz w:val="24"/>
          <w:szCs w:val="24"/>
        </w:rPr>
        <w:t>Many people apply to the Commission alleging that the verdict of guilty recorded against them was unreasonable</w:t>
      </w:r>
      <w:r w:rsidR="00196F43" w:rsidRPr="00130123">
        <w:rPr>
          <w:rFonts w:ascii="FS Albert" w:hAnsi="FS Albert" w:cs="Sabon-Roman"/>
          <w:color w:val="194062"/>
          <w:sz w:val="24"/>
          <w:szCs w:val="24"/>
        </w:rPr>
        <w:t>.</w:t>
      </w:r>
      <w:r>
        <w:rPr>
          <w:rFonts w:ascii="FS Albert" w:hAnsi="FS Albert" w:cs="Sabon-Roman"/>
          <w:color w:val="194062"/>
          <w:sz w:val="24"/>
          <w:szCs w:val="24"/>
        </w:rPr>
        <w:t xml:space="preserve"> A</w:t>
      </w:r>
      <w:r w:rsidR="006633B7" w:rsidRPr="00130123">
        <w:rPr>
          <w:rFonts w:ascii="FS Albert" w:hAnsi="FS Albert" w:cs="Sabon-Roman"/>
          <w:color w:val="194062"/>
          <w:sz w:val="24"/>
          <w:szCs w:val="24"/>
        </w:rPr>
        <w:t>s a ground of referral it is less common</w:t>
      </w:r>
      <w:r w:rsidR="001D364A" w:rsidRPr="00130123">
        <w:rPr>
          <w:rFonts w:ascii="FS Albert" w:hAnsi="FS Albert" w:cs="Sabon-Roman"/>
          <w:color w:val="194062"/>
          <w:sz w:val="24"/>
          <w:szCs w:val="24"/>
        </w:rPr>
        <w:t>; the Commission</w:t>
      </w:r>
      <w:r w:rsidR="008C7601" w:rsidRPr="00130123">
        <w:rPr>
          <w:rFonts w:ascii="FS Albert" w:hAnsi="FS Albert" w:cs="Sabon-Roman"/>
          <w:color w:val="194062"/>
          <w:sz w:val="24"/>
          <w:szCs w:val="24"/>
        </w:rPr>
        <w:t xml:space="preserve"> has referred just </w:t>
      </w:r>
      <w:r w:rsidR="00FD6770" w:rsidRPr="00130123">
        <w:rPr>
          <w:rFonts w:ascii="FS Albert" w:hAnsi="FS Albert" w:cs="Sabon-Roman"/>
          <w:color w:val="194062"/>
          <w:sz w:val="24"/>
          <w:szCs w:val="24"/>
        </w:rPr>
        <w:t>four</w:t>
      </w:r>
      <w:r w:rsidR="001D364A" w:rsidRPr="00130123">
        <w:rPr>
          <w:rFonts w:ascii="FS Albert" w:hAnsi="FS Albert" w:cs="Sabon-Roman"/>
          <w:color w:val="194062"/>
          <w:sz w:val="24"/>
          <w:szCs w:val="24"/>
        </w:rPr>
        <w:t xml:space="preserve"> applications on this ground, most notably that</w:t>
      </w:r>
      <w:r w:rsidR="00436E0F" w:rsidRPr="00130123">
        <w:rPr>
          <w:rFonts w:ascii="FS Albert" w:hAnsi="FS Albert" w:cs="Sabon-Roman"/>
          <w:color w:val="194062"/>
          <w:sz w:val="24"/>
          <w:szCs w:val="24"/>
        </w:rPr>
        <w:t xml:space="preserve"> of</w:t>
      </w:r>
      <w:r w:rsidR="001D364A" w:rsidRPr="00130123">
        <w:rPr>
          <w:rFonts w:ascii="FS Albert" w:hAnsi="FS Albert" w:cs="Sabon-Roman"/>
          <w:color w:val="194062"/>
          <w:sz w:val="24"/>
          <w:szCs w:val="24"/>
        </w:rPr>
        <w:t xml:space="preserve"> </w:t>
      </w:r>
      <w:proofErr w:type="spellStart"/>
      <w:r w:rsidR="001D364A" w:rsidRPr="00130123">
        <w:rPr>
          <w:rFonts w:ascii="FS Albert" w:hAnsi="FS Albert" w:cs="Sabon-Roman"/>
          <w:color w:val="194062"/>
          <w:sz w:val="24"/>
          <w:szCs w:val="24"/>
        </w:rPr>
        <w:t>Abdelbaset</w:t>
      </w:r>
      <w:proofErr w:type="spellEnd"/>
      <w:r w:rsidR="001D364A" w:rsidRPr="00130123">
        <w:rPr>
          <w:rFonts w:ascii="FS Albert" w:hAnsi="FS Albert" w:cs="Sabon-Roman"/>
          <w:color w:val="194062"/>
          <w:sz w:val="24"/>
          <w:szCs w:val="24"/>
        </w:rPr>
        <w:t xml:space="preserve"> </w:t>
      </w:r>
      <w:r w:rsidR="00436E0F" w:rsidRPr="00130123">
        <w:rPr>
          <w:rFonts w:ascii="FS Albert" w:hAnsi="FS Albert" w:cs="Sabon-Roman"/>
          <w:color w:val="194062"/>
          <w:sz w:val="24"/>
          <w:szCs w:val="24"/>
        </w:rPr>
        <w:t xml:space="preserve">Ali </w:t>
      </w:r>
      <w:proofErr w:type="spellStart"/>
      <w:r w:rsidR="00436E0F" w:rsidRPr="00130123">
        <w:rPr>
          <w:rFonts w:ascii="FS Albert" w:hAnsi="FS Albert" w:cs="Sabon-Roman"/>
          <w:color w:val="194062"/>
          <w:sz w:val="24"/>
          <w:szCs w:val="24"/>
        </w:rPr>
        <w:t>Mohmed</w:t>
      </w:r>
      <w:proofErr w:type="spellEnd"/>
      <w:r w:rsidR="00436E0F" w:rsidRPr="00130123">
        <w:rPr>
          <w:rFonts w:ascii="FS Albert" w:hAnsi="FS Albert" w:cs="Sabon-Roman"/>
          <w:color w:val="194062"/>
          <w:sz w:val="24"/>
          <w:szCs w:val="24"/>
        </w:rPr>
        <w:t xml:space="preserve"> </w:t>
      </w:r>
      <w:r w:rsidR="001D364A" w:rsidRPr="00130123">
        <w:rPr>
          <w:rFonts w:ascii="FS Albert" w:hAnsi="FS Albert" w:cs="Sabon-Roman"/>
          <w:color w:val="194062"/>
          <w:sz w:val="24"/>
          <w:szCs w:val="24"/>
        </w:rPr>
        <w:t xml:space="preserve">Al </w:t>
      </w:r>
      <w:proofErr w:type="spellStart"/>
      <w:r w:rsidR="001D364A" w:rsidRPr="00130123">
        <w:rPr>
          <w:rFonts w:ascii="FS Albert" w:hAnsi="FS Albert" w:cs="Sabon-Roman"/>
          <w:color w:val="194062"/>
          <w:sz w:val="24"/>
          <w:szCs w:val="24"/>
        </w:rPr>
        <w:t>Megrahi</w:t>
      </w:r>
      <w:proofErr w:type="spellEnd"/>
      <w:r w:rsidR="001D364A" w:rsidRPr="00130123">
        <w:rPr>
          <w:rFonts w:ascii="FS Albert" w:hAnsi="FS Albert" w:cs="Sabon-Roman"/>
          <w:color w:val="194062"/>
          <w:sz w:val="24"/>
          <w:szCs w:val="24"/>
        </w:rPr>
        <w:t xml:space="preserve">. Mr Al </w:t>
      </w:r>
      <w:proofErr w:type="spellStart"/>
      <w:r w:rsidR="001D364A" w:rsidRPr="00130123">
        <w:rPr>
          <w:rFonts w:ascii="FS Albert" w:hAnsi="FS Albert" w:cs="Sabon-Roman"/>
          <w:color w:val="194062"/>
          <w:sz w:val="24"/>
          <w:szCs w:val="24"/>
        </w:rPr>
        <w:t>Megrahi</w:t>
      </w:r>
      <w:proofErr w:type="spellEnd"/>
      <w:r w:rsidR="001D364A" w:rsidRPr="00130123">
        <w:rPr>
          <w:rFonts w:ascii="FS Albert" w:hAnsi="FS Albert" w:cs="Sabon-Roman"/>
          <w:color w:val="194062"/>
          <w:sz w:val="24"/>
          <w:szCs w:val="24"/>
        </w:rPr>
        <w:t xml:space="preserve"> abandoned his appeal before the matter was determined by the Court</w:t>
      </w:r>
      <w:r w:rsidR="001D364A" w:rsidRPr="00897785">
        <w:rPr>
          <w:rStyle w:val="FootnoteReference"/>
          <w:rFonts w:ascii="FS Albert" w:hAnsi="FS Albert" w:cs="Sabon-Roman"/>
          <w:color w:val="194062"/>
          <w:sz w:val="24"/>
          <w:szCs w:val="24"/>
        </w:rPr>
        <w:footnoteReference w:id="1"/>
      </w:r>
      <w:r w:rsidR="001D364A" w:rsidRPr="00897785">
        <w:rPr>
          <w:rFonts w:ascii="FS Albert" w:hAnsi="FS Albert" w:cs="Sabon-Roman"/>
          <w:color w:val="194062"/>
          <w:sz w:val="24"/>
          <w:szCs w:val="24"/>
        </w:rPr>
        <w:t>.</w:t>
      </w:r>
      <w:r w:rsidR="008C7601" w:rsidRPr="00897785">
        <w:rPr>
          <w:rFonts w:ascii="FS Albert" w:hAnsi="FS Albert" w:cs="Sabon-Roman"/>
          <w:color w:val="194062"/>
          <w:sz w:val="24"/>
          <w:szCs w:val="24"/>
        </w:rPr>
        <w:t xml:space="preserve"> A second </w:t>
      </w:r>
      <w:proofErr w:type="gramStart"/>
      <w:r w:rsidR="008C7601" w:rsidRPr="00897785">
        <w:rPr>
          <w:rFonts w:ascii="FS Albert" w:hAnsi="FS Albert" w:cs="Sabon-Roman"/>
          <w:color w:val="194062"/>
          <w:sz w:val="24"/>
          <w:szCs w:val="24"/>
        </w:rPr>
        <w:t>referral, that</w:t>
      </w:r>
      <w:proofErr w:type="gramEnd"/>
      <w:r w:rsidR="008C7601" w:rsidRPr="00897785">
        <w:rPr>
          <w:rFonts w:ascii="FS Albert" w:hAnsi="FS Albert" w:cs="Sabon-Roman"/>
          <w:color w:val="194062"/>
          <w:sz w:val="24"/>
          <w:szCs w:val="24"/>
        </w:rPr>
        <w:t xml:space="preserve"> of Dominic </w:t>
      </w:r>
      <w:proofErr w:type="spellStart"/>
      <w:r w:rsidR="008C7601" w:rsidRPr="00897785">
        <w:rPr>
          <w:rFonts w:ascii="FS Albert" w:hAnsi="FS Albert" w:cs="Sabon-Roman"/>
          <w:color w:val="194062"/>
          <w:sz w:val="24"/>
          <w:szCs w:val="24"/>
        </w:rPr>
        <w:t>Ferrie</w:t>
      </w:r>
      <w:proofErr w:type="spellEnd"/>
      <w:r w:rsidR="008C7601" w:rsidRPr="00897785">
        <w:rPr>
          <w:rFonts w:ascii="FS Albert" w:hAnsi="FS Albert" w:cs="Sabon-Roman"/>
          <w:i/>
          <w:color w:val="194062"/>
          <w:sz w:val="24"/>
          <w:szCs w:val="24"/>
        </w:rPr>
        <w:t xml:space="preserve">, </w:t>
      </w:r>
      <w:r w:rsidR="008C7601" w:rsidRPr="00897785">
        <w:rPr>
          <w:rFonts w:ascii="FS Albert" w:hAnsi="FS Albert" w:cs="Sabon-Roman"/>
          <w:color w:val="194062"/>
          <w:sz w:val="24"/>
          <w:szCs w:val="24"/>
        </w:rPr>
        <w:t>led to an unsuccessful appeal</w:t>
      </w:r>
      <w:r w:rsidR="008C7601" w:rsidRPr="00897785">
        <w:rPr>
          <w:rStyle w:val="FootnoteReference"/>
          <w:rFonts w:ascii="FS Albert" w:hAnsi="FS Albert" w:cs="Sabon-Roman"/>
          <w:color w:val="194062"/>
          <w:sz w:val="24"/>
          <w:szCs w:val="24"/>
        </w:rPr>
        <w:footnoteReference w:id="2"/>
      </w:r>
      <w:r w:rsidR="008C7601" w:rsidRPr="00897785">
        <w:rPr>
          <w:rFonts w:ascii="FS Albert" w:hAnsi="FS Albert" w:cs="Sabon-Roman"/>
          <w:color w:val="194062"/>
          <w:sz w:val="24"/>
          <w:szCs w:val="24"/>
        </w:rPr>
        <w:t>.</w:t>
      </w:r>
      <w:r w:rsidR="001D364A" w:rsidRPr="00897785">
        <w:rPr>
          <w:rFonts w:ascii="FS Albert" w:hAnsi="FS Albert" w:cs="Sabon-Roman"/>
          <w:color w:val="194062"/>
          <w:sz w:val="24"/>
          <w:szCs w:val="24"/>
        </w:rPr>
        <w:t xml:space="preserve"> The </w:t>
      </w:r>
      <w:r w:rsidR="00FD6770" w:rsidRPr="00897785">
        <w:rPr>
          <w:rFonts w:ascii="FS Albert" w:hAnsi="FS Albert" w:cs="Sabon-Roman"/>
          <w:color w:val="194062"/>
          <w:sz w:val="24"/>
          <w:szCs w:val="24"/>
        </w:rPr>
        <w:t>third</w:t>
      </w:r>
      <w:r w:rsidR="001D364A" w:rsidRPr="00897785">
        <w:rPr>
          <w:rFonts w:ascii="FS Albert" w:hAnsi="FS Albert" w:cs="Sabon-Roman"/>
          <w:color w:val="194062"/>
          <w:sz w:val="24"/>
          <w:szCs w:val="24"/>
        </w:rPr>
        <w:t xml:space="preserve"> referral was decided under reference to a different ground of review</w:t>
      </w:r>
      <w:r w:rsidR="001D364A" w:rsidRPr="00897785">
        <w:rPr>
          <w:rFonts w:ascii="FS Albert" w:hAnsi="FS Albert" w:cs="Sabon-Roman"/>
          <w:color w:val="194062"/>
          <w:sz w:val="24"/>
          <w:szCs w:val="24"/>
          <w:vertAlign w:val="superscript"/>
        </w:rPr>
        <w:footnoteReference w:id="3"/>
      </w:r>
      <w:r w:rsidR="001D364A" w:rsidRPr="00897785">
        <w:rPr>
          <w:rFonts w:ascii="FS Albert" w:hAnsi="FS Albert" w:cs="Sabon-Roman"/>
          <w:color w:val="194062"/>
          <w:sz w:val="24"/>
          <w:szCs w:val="24"/>
        </w:rPr>
        <w:t>.</w:t>
      </w:r>
      <w:r w:rsidR="00FD6770" w:rsidRPr="00897785">
        <w:rPr>
          <w:rFonts w:ascii="FS Albert" w:hAnsi="FS Albert" w:cs="Sabon-Roman"/>
          <w:color w:val="194062"/>
          <w:sz w:val="24"/>
          <w:szCs w:val="24"/>
        </w:rPr>
        <w:t xml:space="preserve"> The fourth such case is </w:t>
      </w:r>
      <w:r w:rsidR="00897785">
        <w:rPr>
          <w:rFonts w:ascii="FS Albert" w:hAnsi="FS Albert" w:cs="Sabon-Roman"/>
          <w:color w:val="194062"/>
          <w:sz w:val="24"/>
          <w:szCs w:val="24"/>
        </w:rPr>
        <w:t>discussed below, at paragraph 10.</w:t>
      </w:r>
    </w:p>
    <w:p w:rsidR="000F05F7" w:rsidRPr="00B52A56" w:rsidRDefault="00976DB5" w:rsidP="00B52A56">
      <w:pPr>
        <w:pStyle w:val="ListParagraph"/>
        <w:numPr>
          <w:ilvl w:val="0"/>
          <w:numId w:val="12"/>
        </w:numPr>
        <w:tabs>
          <w:tab w:val="left" w:pos="567"/>
        </w:tabs>
        <w:autoSpaceDE w:val="0"/>
        <w:autoSpaceDN w:val="0"/>
        <w:adjustRightInd w:val="0"/>
        <w:spacing w:before="100" w:beforeAutospacing="1" w:after="120" w:line="360" w:lineRule="auto"/>
        <w:ind w:left="0" w:firstLine="0"/>
        <w:contextualSpacing w:val="0"/>
        <w:jc w:val="both"/>
        <w:rPr>
          <w:rFonts w:ascii="FS Albert" w:hAnsi="FS Albert" w:cs="Sabon-Roman"/>
          <w:color w:val="194062"/>
          <w:sz w:val="24"/>
          <w:szCs w:val="24"/>
        </w:rPr>
      </w:pPr>
      <w:r w:rsidRPr="00897785">
        <w:rPr>
          <w:rFonts w:ascii="FS Albert" w:hAnsi="FS Albert" w:cs="Sabon-Roman"/>
          <w:color w:val="194062"/>
          <w:sz w:val="24"/>
          <w:szCs w:val="24"/>
        </w:rPr>
        <w:t>The</w:t>
      </w:r>
      <w:r w:rsidR="004C4259" w:rsidRPr="00897785">
        <w:rPr>
          <w:rFonts w:ascii="FS Albert" w:hAnsi="FS Albert" w:cs="Sabon-Roman"/>
          <w:color w:val="194062"/>
          <w:sz w:val="24"/>
          <w:szCs w:val="24"/>
        </w:rPr>
        <w:t xml:space="preserve"> ground of appeal was </w:t>
      </w:r>
      <w:r w:rsidRPr="00897785">
        <w:rPr>
          <w:rFonts w:ascii="FS Albert" w:hAnsi="FS Albert" w:cs="Sabon-Roman"/>
          <w:color w:val="194062"/>
          <w:sz w:val="24"/>
          <w:szCs w:val="24"/>
        </w:rPr>
        <w:t xml:space="preserve">first </w:t>
      </w:r>
      <w:r w:rsidR="004C4259" w:rsidRPr="00897785">
        <w:rPr>
          <w:rFonts w:ascii="FS Albert" w:hAnsi="FS Albert" w:cs="Sabon-Roman"/>
          <w:color w:val="194062"/>
          <w:sz w:val="24"/>
          <w:szCs w:val="24"/>
        </w:rPr>
        <w:t>established</w:t>
      </w:r>
      <w:r w:rsidR="000F05F7" w:rsidRPr="00897785">
        <w:rPr>
          <w:rFonts w:ascii="FS Albert" w:hAnsi="FS Albert" w:cs="Sabon-Roman"/>
          <w:color w:val="194062"/>
          <w:sz w:val="24"/>
          <w:szCs w:val="24"/>
        </w:rPr>
        <w:t>,</w:t>
      </w:r>
      <w:r w:rsidR="004C4259" w:rsidRPr="00897785">
        <w:rPr>
          <w:rFonts w:ascii="FS Albert" w:hAnsi="FS Albert" w:cs="Sabon-Roman"/>
          <w:color w:val="194062"/>
          <w:sz w:val="24"/>
          <w:szCs w:val="24"/>
        </w:rPr>
        <w:t xml:space="preserve"> along with the Court of Criminal Appeal in Scotland</w:t>
      </w:r>
      <w:r w:rsidR="000F05F7" w:rsidRPr="00897785">
        <w:rPr>
          <w:rFonts w:ascii="FS Albert" w:hAnsi="FS Albert" w:cs="Sabon-Roman"/>
          <w:color w:val="194062"/>
          <w:sz w:val="24"/>
          <w:szCs w:val="24"/>
        </w:rPr>
        <w:t>,</w:t>
      </w:r>
      <w:r w:rsidR="004C4259" w:rsidRPr="00897785">
        <w:rPr>
          <w:rFonts w:ascii="FS Albert" w:hAnsi="FS Albert" w:cs="Sabon-Roman"/>
          <w:color w:val="194062"/>
          <w:sz w:val="24"/>
          <w:szCs w:val="24"/>
        </w:rPr>
        <w:t xml:space="preserve"> by the Criminal Appeal (Scotland) Act 1926</w:t>
      </w:r>
      <w:r w:rsidR="004C4259" w:rsidRPr="00897785">
        <w:rPr>
          <w:rStyle w:val="FootnoteReference"/>
          <w:rFonts w:ascii="FS Albert" w:hAnsi="FS Albert" w:cs="Sabon-Roman"/>
          <w:color w:val="194062"/>
          <w:sz w:val="24"/>
          <w:szCs w:val="24"/>
        </w:rPr>
        <w:footnoteReference w:id="4"/>
      </w:r>
      <w:r w:rsidR="004C4259" w:rsidRPr="00897785">
        <w:rPr>
          <w:rFonts w:ascii="FS Albert" w:hAnsi="FS Albert" w:cs="Sabon-Roman"/>
          <w:color w:val="194062"/>
          <w:sz w:val="24"/>
          <w:szCs w:val="24"/>
        </w:rPr>
        <w:t>.</w:t>
      </w:r>
      <w:r w:rsidRPr="00897785">
        <w:rPr>
          <w:rFonts w:ascii="FS Albert" w:hAnsi="FS Albert" w:cs="Sabon-Roman"/>
          <w:color w:val="194062"/>
          <w:sz w:val="24"/>
          <w:szCs w:val="24"/>
        </w:rPr>
        <w:t xml:space="preserve"> The Court could </w:t>
      </w:r>
      <w:r w:rsidR="004C4259" w:rsidRPr="00897785">
        <w:rPr>
          <w:rFonts w:ascii="FS Albert" w:hAnsi="FS Albert" w:cs="Sabon-Roman"/>
          <w:color w:val="194062"/>
          <w:sz w:val="24"/>
          <w:szCs w:val="24"/>
        </w:rPr>
        <w:t xml:space="preserve">“if they [thought] that the verdict of the jury should be set aside on the ground that it is unreasonable or cannot be supported </w:t>
      </w:r>
      <w:r w:rsidRPr="00897785">
        <w:rPr>
          <w:rFonts w:ascii="FS Albert" w:hAnsi="FS Albert" w:cs="Sabon-Roman"/>
          <w:color w:val="194062"/>
          <w:sz w:val="24"/>
          <w:szCs w:val="24"/>
        </w:rPr>
        <w:t>having regard to the evidence”.</w:t>
      </w:r>
      <w:r w:rsidR="004C4259" w:rsidRPr="00897785">
        <w:rPr>
          <w:rFonts w:ascii="FS Albert" w:hAnsi="FS Albert" w:cs="Sabon-Roman"/>
          <w:color w:val="194062"/>
          <w:sz w:val="24"/>
          <w:szCs w:val="24"/>
        </w:rPr>
        <w:t xml:space="preserve"> </w:t>
      </w:r>
      <w:r w:rsidRPr="00897785">
        <w:rPr>
          <w:rFonts w:ascii="FS Albert" w:hAnsi="FS Albert" w:cs="Sabon-Roman"/>
          <w:color w:val="194062"/>
          <w:sz w:val="24"/>
          <w:szCs w:val="24"/>
        </w:rPr>
        <w:t>In practice the</w:t>
      </w:r>
      <w:r w:rsidR="004C4259" w:rsidRPr="00897785">
        <w:rPr>
          <w:rFonts w:ascii="FS Albert" w:hAnsi="FS Albert" w:cs="Sabon-Roman"/>
          <w:color w:val="194062"/>
          <w:sz w:val="24"/>
          <w:szCs w:val="24"/>
        </w:rPr>
        <w:t xml:space="preserve"> interpretation </w:t>
      </w:r>
      <w:r w:rsidRPr="00897785">
        <w:rPr>
          <w:rFonts w:ascii="FS Albert" w:hAnsi="FS Albert" w:cs="Sabon-Roman"/>
          <w:color w:val="194062"/>
          <w:sz w:val="24"/>
          <w:szCs w:val="24"/>
        </w:rPr>
        <w:t xml:space="preserve">of the ground </w:t>
      </w:r>
      <w:r w:rsidR="004C4259" w:rsidRPr="00897785">
        <w:rPr>
          <w:rFonts w:ascii="FS Albert" w:hAnsi="FS Albert" w:cs="Sabon-Roman"/>
          <w:color w:val="194062"/>
          <w:sz w:val="24"/>
          <w:szCs w:val="24"/>
        </w:rPr>
        <w:t>was extremely strict.</w:t>
      </w:r>
      <w:r w:rsidRPr="00897785">
        <w:rPr>
          <w:rStyle w:val="FootnoteReference"/>
          <w:rFonts w:ascii="FS Albert" w:hAnsi="FS Albert" w:cs="Sabon-Roman"/>
          <w:color w:val="194062"/>
          <w:sz w:val="24"/>
          <w:szCs w:val="24"/>
        </w:rPr>
        <w:footnoteReference w:id="5"/>
      </w:r>
      <w:r w:rsidR="004C4259" w:rsidRPr="00897785">
        <w:rPr>
          <w:rFonts w:ascii="FS Albert" w:hAnsi="FS Albert" w:cs="Sabon-Roman"/>
          <w:color w:val="194062"/>
          <w:sz w:val="24"/>
          <w:szCs w:val="24"/>
        </w:rPr>
        <w:t xml:space="preserve"> </w:t>
      </w:r>
    </w:p>
    <w:p w:rsidR="000F05F7" w:rsidRPr="00B52A56" w:rsidRDefault="00976DB5" w:rsidP="00B52A56">
      <w:pPr>
        <w:pStyle w:val="ListParagraph"/>
        <w:numPr>
          <w:ilvl w:val="0"/>
          <w:numId w:val="12"/>
        </w:numPr>
        <w:tabs>
          <w:tab w:val="left" w:pos="567"/>
        </w:tabs>
        <w:autoSpaceDE w:val="0"/>
        <w:autoSpaceDN w:val="0"/>
        <w:adjustRightInd w:val="0"/>
        <w:spacing w:before="100" w:beforeAutospacing="1" w:after="120" w:line="360" w:lineRule="auto"/>
        <w:ind w:left="0" w:firstLine="0"/>
        <w:contextualSpacing w:val="0"/>
        <w:jc w:val="both"/>
        <w:rPr>
          <w:rFonts w:ascii="FS Albert" w:hAnsi="FS Albert" w:cs="Sabon-Roman"/>
          <w:color w:val="194062"/>
          <w:sz w:val="24"/>
          <w:szCs w:val="24"/>
        </w:rPr>
      </w:pPr>
      <w:r w:rsidRPr="00897785">
        <w:rPr>
          <w:rFonts w:ascii="FS Albert" w:hAnsi="FS Albert" w:cs="Sabon-Roman"/>
          <w:color w:val="194062"/>
          <w:sz w:val="24"/>
          <w:szCs w:val="24"/>
        </w:rPr>
        <w:t xml:space="preserve">While the ground of appeal </w:t>
      </w:r>
      <w:r w:rsidR="004C4259" w:rsidRPr="00897785">
        <w:rPr>
          <w:rFonts w:ascii="FS Albert" w:hAnsi="FS Albert" w:cs="Sabon-Roman"/>
          <w:color w:val="194062"/>
          <w:sz w:val="24"/>
          <w:szCs w:val="24"/>
        </w:rPr>
        <w:t xml:space="preserve">was </w:t>
      </w:r>
      <w:r w:rsidRPr="00897785">
        <w:rPr>
          <w:rFonts w:ascii="FS Albert" w:hAnsi="FS Albert" w:cs="Sabon-Roman"/>
          <w:color w:val="194062"/>
          <w:sz w:val="24"/>
          <w:szCs w:val="24"/>
        </w:rPr>
        <w:t>retained</w:t>
      </w:r>
      <w:r w:rsidR="009D298F" w:rsidRPr="00897785">
        <w:rPr>
          <w:rFonts w:ascii="FS Albert" w:hAnsi="FS Albert" w:cs="Sabon-Roman"/>
          <w:color w:val="194062"/>
          <w:sz w:val="24"/>
          <w:szCs w:val="24"/>
        </w:rPr>
        <w:t xml:space="preserve"> </w:t>
      </w:r>
      <w:r w:rsidRPr="00897785">
        <w:rPr>
          <w:rFonts w:ascii="FS Albert" w:hAnsi="FS Albert" w:cs="Sabon-Roman"/>
          <w:color w:val="194062"/>
          <w:sz w:val="24"/>
          <w:szCs w:val="24"/>
        </w:rPr>
        <w:t xml:space="preserve">in </w:t>
      </w:r>
      <w:r w:rsidR="004C4259" w:rsidRPr="00897785">
        <w:rPr>
          <w:rFonts w:ascii="FS Albert" w:hAnsi="FS Albert" w:cs="Sabon-Roman"/>
          <w:color w:val="194062"/>
          <w:sz w:val="24"/>
          <w:szCs w:val="24"/>
        </w:rPr>
        <w:t xml:space="preserve">the Criminal Procedure (Scotland) Act 1975, </w:t>
      </w:r>
      <w:r w:rsidRPr="00897785">
        <w:rPr>
          <w:rFonts w:ascii="FS Albert" w:hAnsi="FS Albert" w:cs="Sabon-Roman"/>
          <w:color w:val="194062"/>
          <w:sz w:val="24"/>
          <w:szCs w:val="24"/>
        </w:rPr>
        <w:t xml:space="preserve">it </w:t>
      </w:r>
      <w:r w:rsidR="004C4259" w:rsidRPr="00897785">
        <w:rPr>
          <w:rFonts w:ascii="FS Albert" w:hAnsi="FS Albert" w:cs="Sabon-Roman"/>
          <w:color w:val="194062"/>
          <w:sz w:val="24"/>
          <w:szCs w:val="24"/>
        </w:rPr>
        <w:t>disappeared from statute when the 1975 Act was amended by the Crimina</w:t>
      </w:r>
      <w:r w:rsidR="000F05F7" w:rsidRPr="00897785">
        <w:rPr>
          <w:rFonts w:ascii="FS Albert" w:hAnsi="FS Albert" w:cs="Sabon-Roman"/>
          <w:color w:val="194062"/>
          <w:sz w:val="24"/>
          <w:szCs w:val="24"/>
        </w:rPr>
        <w:t>l Justice (Scotland) Act 1980 and</w:t>
      </w:r>
      <w:r w:rsidR="004C4259" w:rsidRPr="00897785">
        <w:rPr>
          <w:rFonts w:ascii="FS Albert" w:hAnsi="FS Albert" w:cs="Sabon-Roman"/>
          <w:color w:val="194062"/>
          <w:sz w:val="24"/>
          <w:szCs w:val="24"/>
        </w:rPr>
        <w:t xml:space="preserve"> a single ground of appeal - that there had b</w:t>
      </w:r>
      <w:r w:rsidR="009D298F" w:rsidRPr="00897785">
        <w:rPr>
          <w:rFonts w:ascii="FS Albert" w:hAnsi="FS Albert" w:cs="Sabon-Roman"/>
          <w:color w:val="194062"/>
          <w:sz w:val="24"/>
          <w:szCs w:val="24"/>
        </w:rPr>
        <w:t>een a miscarriage of justice</w:t>
      </w:r>
      <w:r w:rsidR="000F05F7" w:rsidRPr="00897785">
        <w:rPr>
          <w:rFonts w:ascii="FS Albert" w:hAnsi="FS Albert" w:cs="Sabon-Roman"/>
          <w:color w:val="194062"/>
          <w:sz w:val="24"/>
          <w:szCs w:val="24"/>
        </w:rPr>
        <w:t xml:space="preserve"> </w:t>
      </w:r>
      <w:r w:rsidR="0080058A" w:rsidRPr="00897785">
        <w:rPr>
          <w:rFonts w:ascii="FS Albert" w:hAnsi="FS Albert" w:cs="Sabon-Roman"/>
          <w:color w:val="194062"/>
          <w:sz w:val="24"/>
          <w:szCs w:val="24"/>
        </w:rPr>
        <w:t xml:space="preserve">- </w:t>
      </w:r>
      <w:r w:rsidR="000F05F7" w:rsidRPr="00897785">
        <w:rPr>
          <w:rFonts w:ascii="FS Albert" w:hAnsi="FS Albert" w:cs="Sabon-Roman"/>
          <w:color w:val="194062"/>
          <w:sz w:val="24"/>
          <w:szCs w:val="24"/>
        </w:rPr>
        <w:t>was introduced. A</w:t>
      </w:r>
      <w:r w:rsidR="004C4259" w:rsidRPr="00897785">
        <w:rPr>
          <w:rFonts w:ascii="FS Albert" w:hAnsi="FS Albert" w:cs="Sabon-Roman"/>
          <w:color w:val="194062"/>
          <w:sz w:val="24"/>
          <w:szCs w:val="24"/>
        </w:rPr>
        <w:t xml:space="preserve">lthough it was always envisaged that </w:t>
      </w:r>
      <w:r w:rsidRPr="00897785">
        <w:rPr>
          <w:rFonts w:ascii="FS Albert" w:hAnsi="FS Albert" w:cs="Sabon-Roman"/>
          <w:color w:val="194062"/>
          <w:sz w:val="24"/>
          <w:szCs w:val="24"/>
        </w:rPr>
        <w:t xml:space="preserve">an </w:t>
      </w:r>
      <w:r w:rsidRPr="00897785">
        <w:rPr>
          <w:rFonts w:ascii="FS Albert" w:hAnsi="FS Albert" w:cs="Times New Roman"/>
          <w:color w:val="194062"/>
          <w:sz w:val="24"/>
          <w:szCs w:val="24"/>
        </w:rPr>
        <w:t>unreasonable</w:t>
      </w:r>
      <w:r w:rsidR="004C4259" w:rsidRPr="00897785">
        <w:rPr>
          <w:rFonts w:ascii="FS Albert" w:hAnsi="FS Albert" w:cs="Sabon-Roman"/>
          <w:color w:val="194062"/>
          <w:sz w:val="24"/>
          <w:szCs w:val="24"/>
        </w:rPr>
        <w:t xml:space="preserve"> jury verdict could const</w:t>
      </w:r>
      <w:r w:rsidR="000F05F7" w:rsidRPr="00897785">
        <w:rPr>
          <w:rFonts w:ascii="FS Albert" w:hAnsi="FS Albert" w:cs="Sabon-Roman"/>
          <w:color w:val="194062"/>
          <w:sz w:val="24"/>
          <w:szCs w:val="24"/>
        </w:rPr>
        <w:t>itute a miscarriage of justice there was a</w:t>
      </w:r>
      <w:r w:rsidR="004C4259" w:rsidRPr="00897785">
        <w:rPr>
          <w:rFonts w:ascii="FS Albert" w:hAnsi="FS Albert" w:cs="Sabon-Roman"/>
          <w:color w:val="194062"/>
          <w:sz w:val="24"/>
          <w:szCs w:val="24"/>
        </w:rPr>
        <w:t xml:space="preserve"> dearth o</w:t>
      </w:r>
      <w:r w:rsidR="000F05F7" w:rsidRPr="00897785">
        <w:rPr>
          <w:rFonts w:ascii="FS Albert" w:hAnsi="FS Albert" w:cs="Sabon-Roman"/>
          <w:color w:val="194062"/>
          <w:sz w:val="24"/>
          <w:szCs w:val="24"/>
        </w:rPr>
        <w:t>f successful appeals. T</w:t>
      </w:r>
      <w:r w:rsidR="004C4259" w:rsidRPr="00897785">
        <w:rPr>
          <w:rFonts w:ascii="FS Albert" w:hAnsi="FS Albert" w:cs="Sabon-Roman"/>
          <w:color w:val="194062"/>
          <w:sz w:val="24"/>
          <w:szCs w:val="24"/>
        </w:rPr>
        <w:t xml:space="preserve">his led the Sutherland Committee to recommend that the </w:t>
      </w:r>
      <w:r w:rsidR="000F05F7" w:rsidRPr="00897785">
        <w:rPr>
          <w:rFonts w:ascii="FS Albert" w:hAnsi="FS Albert" w:cs="Sabon-Roman"/>
          <w:color w:val="194062"/>
          <w:sz w:val="24"/>
          <w:szCs w:val="24"/>
        </w:rPr>
        <w:t>C</w:t>
      </w:r>
      <w:r w:rsidR="004C4259" w:rsidRPr="00897785">
        <w:rPr>
          <w:rFonts w:ascii="FS Albert" w:hAnsi="FS Albert" w:cs="Sabon-Roman"/>
          <w:color w:val="194062"/>
          <w:sz w:val="24"/>
          <w:szCs w:val="24"/>
        </w:rPr>
        <w:t xml:space="preserve">ourt's power to quash a conviction where the jury had returned </w:t>
      </w:r>
      <w:r w:rsidRPr="00897785">
        <w:rPr>
          <w:rFonts w:ascii="FS Albert" w:hAnsi="FS Albert" w:cs="Sabon-Roman"/>
          <w:color w:val="194062"/>
          <w:sz w:val="24"/>
          <w:szCs w:val="24"/>
        </w:rPr>
        <w:t xml:space="preserve">an </w:t>
      </w:r>
      <w:r w:rsidRPr="00897785">
        <w:rPr>
          <w:rFonts w:ascii="FS Albert" w:hAnsi="FS Albert" w:cs="Times New Roman"/>
          <w:color w:val="194062"/>
          <w:sz w:val="24"/>
          <w:szCs w:val="24"/>
        </w:rPr>
        <w:t>unreasonable</w:t>
      </w:r>
      <w:r w:rsidR="004C4259" w:rsidRPr="00897785">
        <w:rPr>
          <w:rFonts w:ascii="FS Albert" w:hAnsi="FS Albert" w:cs="Sabon-Roman"/>
          <w:color w:val="194062"/>
          <w:sz w:val="24"/>
          <w:szCs w:val="24"/>
        </w:rPr>
        <w:t xml:space="preserve"> verdict be re-</w:t>
      </w:r>
      <w:r w:rsidR="004C4259" w:rsidRPr="00897785">
        <w:rPr>
          <w:rFonts w:ascii="FS Albert" w:hAnsi="FS Albert" w:cs="Sabon-Roman"/>
          <w:color w:val="194062"/>
          <w:sz w:val="24"/>
          <w:szCs w:val="24"/>
        </w:rPr>
        <w:lastRenderedPageBreak/>
        <w:t>introduced into legislation in a</w:t>
      </w:r>
      <w:r w:rsidRPr="00897785">
        <w:rPr>
          <w:rFonts w:ascii="FS Albert" w:hAnsi="FS Albert" w:cs="Sabon-Roman"/>
          <w:color w:val="194062"/>
          <w:sz w:val="24"/>
          <w:szCs w:val="24"/>
        </w:rPr>
        <w:t>n attempt to encourage its use</w:t>
      </w:r>
      <w:r w:rsidRPr="00897785">
        <w:rPr>
          <w:rStyle w:val="FootnoteReference"/>
          <w:rFonts w:ascii="FS Albert" w:hAnsi="FS Albert" w:cs="Sabon-Roman"/>
          <w:color w:val="194062"/>
          <w:sz w:val="24"/>
          <w:szCs w:val="24"/>
        </w:rPr>
        <w:footnoteReference w:id="6"/>
      </w:r>
      <w:r w:rsidRPr="00897785">
        <w:rPr>
          <w:rFonts w:ascii="FS Albert" w:hAnsi="FS Albert" w:cs="Sabon-Roman"/>
          <w:color w:val="194062"/>
          <w:sz w:val="24"/>
          <w:szCs w:val="24"/>
        </w:rPr>
        <w:t>.</w:t>
      </w:r>
      <w:r w:rsidR="000F05F7" w:rsidRPr="00897785">
        <w:rPr>
          <w:rFonts w:ascii="FS Albert" w:hAnsi="FS Albert" w:cs="Sabon-Roman"/>
          <w:color w:val="194062"/>
          <w:sz w:val="24"/>
          <w:szCs w:val="24"/>
        </w:rPr>
        <w:t xml:space="preserve"> This recommendation was implemented by the Crime and Punishment (Scotland) Act 1997, which amended the relevant legislation accordingly.</w:t>
      </w:r>
    </w:p>
    <w:p w:rsidR="000F05F7" w:rsidRPr="009B63F2" w:rsidRDefault="000F05F7" w:rsidP="006E3CBB">
      <w:pPr>
        <w:pStyle w:val="ListParagraph"/>
        <w:tabs>
          <w:tab w:val="left" w:pos="567"/>
        </w:tabs>
        <w:autoSpaceDE w:val="0"/>
        <w:autoSpaceDN w:val="0"/>
        <w:adjustRightInd w:val="0"/>
        <w:spacing w:before="100" w:beforeAutospacing="1" w:after="100" w:afterAutospacing="1" w:line="360" w:lineRule="auto"/>
        <w:ind w:left="0"/>
        <w:jc w:val="both"/>
        <w:rPr>
          <w:rFonts w:ascii="FS Albert" w:hAnsi="FS Albert"/>
          <w:b/>
          <w:color w:val="194062"/>
          <w:sz w:val="32"/>
          <w:szCs w:val="32"/>
        </w:rPr>
      </w:pPr>
      <w:r w:rsidRPr="009B63F2">
        <w:rPr>
          <w:rFonts w:ascii="FS Albert" w:hAnsi="FS Albert"/>
          <w:b/>
          <w:color w:val="194062"/>
          <w:sz w:val="32"/>
          <w:szCs w:val="32"/>
        </w:rPr>
        <w:t>The Commission’s Position</w:t>
      </w:r>
    </w:p>
    <w:p w:rsidR="000F05F7" w:rsidRPr="00897785" w:rsidRDefault="000F05F7" w:rsidP="006E3CBB">
      <w:pPr>
        <w:pStyle w:val="ListParagraph"/>
        <w:tabs>
          <w:tab w:val="left" w:pos="567"/>
        </w:tabs>
        <w:autoSpaceDE w:val="0"/>
        <w:autoSpaceDN w:val="0"/>
        <w:adjustRightInd w:val="0"/>
        <w:spacing w:before="100" w:beforeAutospacing="1" w:after="100" w:afterAutospacing="1" w:line="360" w:lineRule="auto"/>
        <w:ind w:left="0"/>
        <w:jc w:val="both"/>
        <w:rPr>
          <w:rFonts w:ascii="FS Albert" w:hAnsi="FS Albert" w:cs="Sabon-Roman"/>
          <w:color w:val="194062"/>
          <w:sz w:val="24"/>
          <w:szCs w:val="24"/>
        </w:rPr>
      </w:pPr>
    </w:p>
    <w:p w:rsidR="001D364A" w:rsidRPr="00897785" w:rsidRDefault="001D364A" w:rsidP="001D364A">
      <w:pPr>
        <w:pStyle w:val="ListParagraph"/>
        <w:numPr>
          <w:ilvl w:val="0"/>
          <w:numId w:val="12"/>
        </w:numPr>
        <w:tabs>
          <w:tab w:val="left" w:pos="567"/>
        </w:tabs>
        <w:autoSpaceDE w:val="0"/>
        <w:autoSpaceDN w:val="0"/>
        <w:adjustRightInd w:val="0"/>
        <w:spacing w:before="100" w:beforeAutospacing="1" w:after="100" w:afterAutospacing="1" w:line="360" w:lineRule="auto"/>
        <w:ind w:left="0" w:firstLine="0"/>
        <w:jc w:val="both"/>
        <w:rPr>
          <w:rFonts w:ascii="FS Albert" w:hAnsi="FS Albert" w:cs="Sabon-Roman"/>
          <w:color w:val="194062"/>
          <w:sz w:val="24"/>
          <w:szCs w:val="24"/>
        </w:rPr>
      </w:pPr>
      <w:r w:rsidRPr="00897785">
        <w:rPr>
          <w:rFonts w:ascii="FS Albert" w:hAnsi="FS Albert" w:cs="Sabon-Roman"/>
          <w:color w:val="194062"/>
          <w:sz w:val="24"/>
          <w:szCs w:val="24"/>
        </w:rPr>
        <w:t>The Commission’s starting point is section 106(3)(b) of the Criminal Procedure (Scotland) Act 1995 (as amended), which provides:</w:t>
      </w:r>
      <w:r w:rsidRPr="00897785">
        <w:rPr>
          <w:rFonts w:ascii="FS Albert" w:eastAsia="Times New Roman" w:hAnsi="FS Albert" w:cs="Times New Roman"/>
          <w:color w:val="194062"/>
          <w:sz w:val="24"/>
          <w:szCs w:val="24"/>
          <w:lang w:eastAsia="en-GB"/>
        </w:rPr>
        <w:t>:</w:t>
      </w:r>
    </w:p>
    <w:p w:rsidR="00E06DD6" w:rsidRPr="00897785" w:rsidRDefault="00E06DD6" w:rsidP="006E3CBB">
      <w:pPr>
        <w:pStyle w:val="ListParagraph"/>
        <w:tabs>
          <w:tab w:val="left" w:pos="567"/>
        </w:tabs>
        <w:autoSpaceDE w:val="0"/>
        <w:autoSpaceDN w:val="0"/>
        <w:adjustRightInd w:val="0"/>
        <w:spacing w:before="100" w:beforeAutospacing="1" w:after="100" w:afterAutospacing="1" w:line="360" w:lineRule="auto"/>
        <w:ind w:left="0"/>
        <w:jc w:val="both"/>
        <w:rPr>
          <w:rFonts w:ascii="FS Albert" w:hAnsi="FS Albert" w:cs="Sabon-Roman"/>
          <w:color w:val="194062"/>
          <w:sz w:val="24"/>
          <w:szCs w:val="24"/>
        </w:rPr>
      </w:pPr>
    </w:p>
    <w:p w:rsidR="00E06DD6" w:rsidRPr="00002051" w:rsidRDefault="00E06DD6" w:rsidP="006E3CBB">
      <w:pPr>
        <w:pStyle w:val="ListParagraph"/>
        <w:spacing w:before="100" w:beforeAutospacing="1" w:after="100" w:afterAutospacing="1" w:line="360" w:lineRule="auto"/>
        <w:jc w:val="both"/>
        <w:rPr>
          <w:rFonts w:ascii="FS Albert Light" w:eastAsia="Times New Roman" w:hAnsi="FS Albert Light" w:cs="Times New Roman"/>
          <w:iCs/>
          <w:color w:val="194062"/>
          <w:sz w:val="24"/>
          <w:lang w:eastAsia="en-GB"/>
        </w:rPr>
      </w:pPr>
      <w:r w:rsidRPr="00002051">
        <w:rPr>
          <w:rFonts w:ascii="FS Albert Light" w:eastAsia="Times New Roman" w:hAnsi="FS Albert Light" w:cs="Times New Roman"/>
          <w:iCs/>
          <w:color w:val="194062"/>
          <w:sz w:val="24"/>
          <w:lang w:eastAsia="en-GB"/>
        </w:rPr>
        <w:t>“… a person may bring under review of the High Court any alleged miscarriage of justice, which may include such a miscarriage... based on – (b) the jury’s having returned a verdict which no reasonable jury, properly directed, could have returned.”</w:t>
      </w:r>
    </w:p>
    <w:p w:rsidR="00E06DD6" w:rsidRPr="00897785" w:rsidRDefault="00E06DD6" w:rsidP="006E3CBB">
      <w:pPr>
        <w:pStyle w:val="ListParagraph"/>
        <w:tabs>
          <w:tab w:val="left" w:pos="567"/>
        </w:tabs>
        <w:autoSpaceDE w:val="0"/>
        <w:autoSpaceDN w:val="0"/>
        <w:adjustRightInd w:val="0"/>
        <w:spacing w:before="100" w:beforeAutospacing="1" w:after="100" w:afterAutospacing="1" w:line="360" w:lineRule="auto"/>
        <w:ind w:left="0"/>
        <w:jc w:val="both"/>
        <w:rPr>
          <w:rFonts w:ascii="FS Albert" w:hAnsi="FS Albert" w:cs="Sabon-Roman"/>
          <w:color w:val="194062"/>
          <w:sz w:val="24"/>
          <w:szCs w:val="24"/>
        </w:rPr>
      </w:pPr>
    </w:p>
    <w:p w:rsidR="00E06DD6" w:rsidRPr="00897785" w:rsidRDefault="00E06DD6" w:rsidP="006E3CBB">
      <w:pPr>
        <w:pStyle w:val="ListParagraph"/>
        <w:numPr>
          <w:ilvl w:val="0"/>
          <w:numId w:val="12"/>
        </w:numPr>
        <w:tabs>
          <w:tab w:val="left" w:pos="567"/>
        </w:tabs>
        <w:autoSpaceDE w:val="0"/>
        <w:autoSpaceDN w:val="0"/>
        <w:adjustRightInd w:val="0"/>
        <w:spacing w:before="100" w:beforeAutospacing="1" w:after="100" w:afterAutospacing="1" w:line="360" w:lineRule="auto"/>
        <w:ind w:left="0" w:firstLine="0"/>
        <w:jc w:val="both"/>
        <w:rPr>
          <w:rFonts w:ascii="FS Albert" w:hAnsi="FS Albert" w:cs="Sabon-Roman"/>
          <w:color w:val="194062"/>
          <w:sz w:val="24"/>
          <w:szCs w:val="24"/>
        </w:rPr>
      </w:pPr>
      <w:r w:rsidRPr="00897785">
        <w:rPr>
          <w:rFonts w:ascii="FS Albert" w:eastAsia="Times New Roman" w:hAnsi="FS Albert" w:cs="Times New Roman"/>
          <w:color w:val="194062"/>
          <w:sz w:val="24"/>
          <w:szCs w:val="24"/>
          <w:lang w:eastAsia="en-GB"/>
        </w:rPr>
        <w:t>The question of whether the jury returned a verdict which no reasonable jury, properly directed, could have returned must be addressed by assessing the principles laid down in</w:t>
      </w:r>
      <w:r w:rsidR="00A7135F" w:rsidRPr="00897785">
        <w:rPr>
          <w:rFonts w:ascii="FS Albert" w:eastAsia="Times New Roman" w:hAnsi="FS Albert" w:cs="Times New Roman"/>
          <w:color w:val="194062"/>
          <w:sz w:val="24"/>
          <w:szCs w:val="24"/>
          <w:lang w:eastAsia="en-GB"/>
        </w:rPr>
        <w:t xml:space="preserve"> the leading cases, particularly</w:t>
      </w:r>
      <w:r w:rsidRPr="00897785">
        <w:rPr>
          <w:rFonts w:ascii="FS Albert" w:eastAsia="Times New Roman" w:hAnsi="FS Albert" w:cs="Times New Roman"/>
          <w:color w:val="194062"/>
          <w:sz w:val="24"/>
          <w:szCs w:val="24"/>
          <w:lang w:eastAsia="en-GB"/>
        </w:rPr>
        <w:t xml:space="preserve"> </w:t>
      </w:r>
      <w:r w:rsidRPr="00897785">
        <w:rPr>
          <w:rFonts w:ascii="FS Albert" w:eastAsia="Times New Roman" w:hAnsi="FS Albert" w:cs="Times New Roman"/>
          <w:i/>
          <w:color w:val="194062"/>
          <w:sz w:val="24"/>
          <w:szCs w:val="24"/>
          <w:lang w:eastAsia="en-GB"/>
        </w:rPr>
        <w:t>King v HMA</w:t>
      </w:r>
      <w:r w:rsidR="00C722AE" w:rsidRPr="00897785">
        <w:rPr>
          <w:rStyle w:val="FootnoteReference"/>
          <w:rFonts w:ascii="FS Albert" w:eastAsia="Times New Roman" w:hAnsi="FS Albert" w:cs="Times New Roman"/>
          <w:i/>
          <w:color w:val="194062"/>
          <w:sz w:val="24"/>
          <w:szCs w:val="24"/>
          <w:lang w:eastAsia="en-GB"/>
        </w:rPr>
        <w:footnoteReference w:id="7"/>
      </w:r>
      <w:r w:rsidRPr="00897785">
        <w:rPr>
          <w:rFonts w:ascii="FS Albert" w:eastAsia="Times New Roman" w:hAnsi="FS Albert" w:cs="Times New Roman"/>
          <w:color w:val="194062"/>
          <w:sz w:val="24"/>
          <w:szCs w:val="24"/>
          <w:lang w:eastAsia="en-GB"/>
        </w:rPr>
        <w:t xml:space="preserve"> and </w:t>
      </w:r>
      <w:r w:rsidR="003E146A" w:rsidRPr="00897785">
        <w:rPr>
          <w:rFonts w:ascii="FS Albert" w:eastAsia="Times New Roman" w:hAnsi="FS Albert" w:cs="Times New Roman"/>
          <w:i/>
          <w:color w:val="194062"/>
          <w:sz w:val="24"/>
          <w:szCs w:val="24"/>
          <w:lang w:eastAsia="en-GB"/>
        </w:rPr>
        <w:t>E</w:t>
      </w:r>
      <w:r w:rsidRPr="00897785">
        <w:rPr>
          <w:rFonts w:ascii="FS Albert" w:eastAsia="Times New Roman" w:hAnsi="FS Albert" w:cs="Times New Roman"/>
          <w:i/>
          <w:color w:val="194062"/>
          <w:sz w:val="24"/>
          <w:szCs w:val="24"/>
          <w:lang w:eastAsia="en-GB"/>
        </w:rPr>
        <w:t xml:space="preserve"> v HMA</w:t>
      </w:r>
      <w:r w:rsidR="00C722AE" w:rsidRPr="00897785">
        <w:rPr>
          <w:rStyle w:val="FootnoteReference"/>
          <w:rFonts w:ascii="FS Albert" w:eastAsia="Times New Roman" w:hAnsi="FS Albert" w:cs="Times New Roman"/>
          <w:i/>
          <w:color w:val="194062"/>
          <w:sz w:val="24"/>
          <w:szCs w:val="24"/>
          <w:lang w:eastAsia="en-GB"/>
        </w:rPr>
        <w:footnoteReference w:id="8"/>
      </w:r>
      <w:r w:rsidRPr="00897785">
        <w:rPr>
          <w:rFonts w:ascii="FS Albert" w:eastAsia="Times New Roman" w:hAnsi="FS Albert" w:cs="Times New Roman"/>
          <w:color w:val="194062"/>
          <w:sz w:val="24"/>
          <w:szCs w:val="24"/>
          <w:lang w:eastAsia="en-GB"/>
        </w:rPr>
        <w:t>, which can be summarised as follows:</w:t>
      </w:r>
    </w:p>
    <w:p w:rsidR="00130123" w:rsidRPr="00897785" w:rsidRDefault="00130123" w:rsidP="00897785">
      <w:pPr>
        <w:pStyle w:val="ListParagraph"/>
        <w:tabs>
          <w:tab w:val="left" w:pos="567"/>
        </w:tabs>
        <w:autoSpaceDE w:val="0"/>
        <w:autoSpaceDN w:val="0"/>
        <w:adjustRightInd w:val="0"/>
        <w:spacing w:before="100" w:beforeAutospacing="1" w:after="100" w:afterAutospacing="1" w:line="360" w:lineRule="auto"/>
        <w:ind w:left="0"/>
        <w:jc w:val="both"/>
        <w:rPr>
          <w:rFonts w:ascii="FS Albert" w:hAnsi="FS Albert" w:cs="Sabon-Roman"/>
          <w:color w:val="194062"/>
          <w:sz w:val="24"/>
          <w:szCs w:val="24"/>
        </w:rPr>
      </w:pPr>
    </w:p>
    <w:p w:rsidR="00E06DD6" w:rsidRPr="00897785" w:rsidRDefault="00E06DD6" w:rsidP="006E3CBB">
      <w:pPr>
        <w:pStyle w:val="ListParagraph"/>
        <w:numPr>
          <w:ilvl w:val="0"/>
          <w:numId w:val="15"/>
        </w:numPr>
        <w:tabs>
          <w:tab w:val="left" w:pos="-15168"/>
          <w:tab w:val="left" w:pos="-15026"/>
        </w:tabs>
        <w:spacing w:before="100" w:beforeAutospacing="1" w:after="100" w:afterAutospacing="1" w:line="360" w:lineRule="auto"/>
        <w:jc w:val="both"/>
        <w:rPr>
          <w:rFonts w:ascii="FS Albert" w:eastAsia="Times New Roman" w:hAnsi="FS Albert" w:cs="Times New Roman"/>
          <w:color w:val="194062"/>
          <w:sz w:val="24"/>
          <w:szCs w:val="24"/>
          <w:lang w:eastAsia="en-GB"/>
        </w:rPr>
      </w:pPr>
      <w:r w:rsidRPr="00897785">
        <w:rPr>
          <w:rFonts w:ascii="FS Albert" w:eastAsia="Times New Roman" w:hAnsi="FS Albert" w:cs="Times New Roman"/>
          <w:color w:val="194062"/>
          <w:sz w:val="24"/>
          <w:szCs w:val="24"/>
          <w:lang w:eastAsia="en-GB"/>
        </w:rPr>
        <w:t>The test under section 106(3)(b) is objective and an appellant who relies on it must establish that, on the evidence led at trial, no reasonable jury could have been satisfied beyond reasonable doubt that he was guilty</w:t>
      </w:r>
      <w:r w:rsidR="00361AF8" w:rsidRPr="00897785">
        <w:rPr>
          <w:rStyle w:val="FootnoteReference"/>
          <w:rFonts w:ascii="FS Albert" w:eastAsia="Times New Roman" w:hAnsi="FS Albert" w:cs="Times New Roman"/>
          <w:color w:val="194062"/>
          <w:sz w:val="24"/>
          <w:szCs w:val="24"/>
          <w:lang w:eastAsia="en-GB"/>
        </w:rPr>
        <w:footnoteReference w:id="9"/>
      </w:r>
      <w:r w:rsidRPr="00897785">
        <w:rPr>
          <w:rFonts w:ascii="FS Albert" w:eastAsia="Times New Roman" w:hAnsi="FS Albert" w:cs="Times New Roman"/>
          <w:color w:val="194062"/>
          <w:sz w:val="24"/>
          <w:szCs w:val="24"/>
          <w:lang w:eastAsia="en-GB"/>
        </w:rPr>
        <w:t>.</w:t>
      </w:r>
    </w:p>
    <w:p w:rsidR="00E06DD6" w:rsidRPr="00897785" w:rsidRDefault="00E06DD6" w:rsidP="006E3CBB">
      <w:pPr>
        <w:pStyle w:val="ListParagraph"/>
        <w:numPr>
          <w:ilvl w:val="0"/>
          <w:numId w:val="15"/>
        </w:numPr>
        <w:tabs>
          <w:tab w:val="left" w:pos="-15168"/>
          <w:tab w:val="left" w:pos="-15026"/>
        </w:tabs>
        <w:spacing w:before="100" w:beforeAutospacing="1" w:after="100" w:afterAutospacing="1" w:line="360" w:lineRule="auto"/>
        <w:jc w:val="both"/>
        <w:rPr>
          <w:rFonts w:ascii="FS Albert" w:eastAsia="Times New Roman" w:hAnsi="FS Albert" w:cs="Times New Roman"/>
          <w:color w:val="194062"/>
          <w:sz w:val="24"/>
          <w:szCs w:val="24"/>
          <w:lang w:eastAsia="en-GB"/>
        </w:rPr>
      </w:pPr>
      <w:r w:rsidRPr="00897785">
        <w:rPr>
          <w:rFonts w:ascii="FS Albert" w:eastAsia="Times New Roman" w:hAnsi="FS Albert" w:cs="Times New Roman"/>
          <w:color w:val="194062"/>
          <w:sz w:val="24"/>
          <w:szCs w:val="24"/>
          <w:lang w:eastAsia="en-GB"/>
        </w:rPr>
        <w:t>A miscarriage of justice is not identified simply because, in any given case, the court might have entertained a reasonable doubt on the evidence</w:t>
      </w:r>
      <w:r w:rsidR="00361AF8" w:rsidRPr="00897785">
        <w:rPr>
          <w:rStyle w:val="FootnoteReference"/>
          <w:rFonts w:ascii="FS Albert" w:eastAsia="Times New Roman" w:hAnsi="FS Albert" w:cs="Times New Roman"/>
          <w:color w:val="194062"/>
          <w:sz w:val="24"/>
          <w:szCs w:val="24"/>
          <w:lang w:eastAsia="en-GB"/>
        </w:rPr>
        <w:footnoteReference w:id="10"/>
      </w:r>
      <w:r w:rsidRPr="00897785">
        <w:rPr>
          <w:rFonts w:ascii="FS Albert" w:eastAsia="Times New Roman" w:hAnsi="FS Albert" w:cs="Times New Roman"/>
          <w:color w:val="194062"/>
          <w:sz w:val="24"/>
          <w:szCs w:val="24"/>
          <w:lang w:eastAsia="en-GB"/>
        </w:rPr>
        <w:t>.</w:t>
      </w:r>
    </w:p>
    <w:p w:rsidR="00E06DD6" w:rsidRPr="00897785" w:rsidRDefault="00E06DD6" w:rsidP="006E3CBB">
      <w:pPr>
        <w:pStyle w:val="ListParagraph"/>
        <w:numPr>
          <w:ilvl w:val="0"/>
          <w:numId w:val="15"/>
        </w:numPr>
        <w:tabs>
          <w:tab w:val="left" w:pos="-15168"/>
          <w:tab w:val="left" w:pos="-15026"/>
        </w:tabs>
        <w:spacing w:before="100" w:beforeAutospacing="1" w:after="100" w:afterAutospacing="1" w:line="360" w:lineRule="auto"/>
        <w:jc w:val="both"/>
        <w:rPr>
          <w:rFonts w:ascii="FS Albert" w:eastAsia="Times New Roman" w:hAnsi="FS Albert" w:cs="Times New Roman"/>
          <w:color w:val="194062"/>
          <w:sz w:val="24"/>
          <w:szCs w:val="24"/>
          <w:lang w:eastAsia="en-GB"/>
        </w:rPr>
      </w:pPr>
      <w:r w:rsidRPr="00897785">
        <w:rPr>
          <w:rFonts w:ascii="FS Albert" w:eastAsia="Times New Roman" w:hAnsi="FS Albert" w:cs="Times New Roman"/>
          <w:color w:val="194062"/>
          <w:sz w:val="24"/>
          <w:szCs w:val="24"/>
          <w:lang w:eastAsia="en-GB"/>
        </w:rPr>
        <w:t>A jury can reasonably reject evidence precisely because that evidence is inconsistent with the Crown evidence that it has decided to accept</w:t>
      </w:r>
      <w:r w:rsidR="00361AF8" w:rsidRPr="00897785">
        <w:rPr>
          <w:rStyle w:val="FootnoteReference"/>
          <w:rFonts w:ascii="FS Albert" w:eastAsia="Times New Roman" w:hAnsi="FS Albert" w:cs="Times New Roman"/>
          <w:color w:val="194062"/>
          <w:sz w:val="24"/>
          <w:szCs w:val="24"/>
          <w:lang w:eastAsia="en-GB"/>
        </w:rPr>
        <w:footnoteReference w:id="11"/>
      </w:r>
      <w:r w:rsidRPr="00897785">
        <w:rPr>
          <w:rFonts w:ascii="FS Albert" w:eastAsia="Times New Roman" w:hAnsi="FS Albert" w:cs="Times New Roman"/>
          <w:color w:val="194062"/>
          <w:sz w:val="24"/>
          <w:szCs w:val="24"/>
          <w:lang w:eastAsia="en-GB"/>
        </w:rPr>
        <w:t>.</w:t>
      </w:r>
    </w:p>
    <w:p w:rsidR="00E06DD6" w:rsidRPr="00897785" w:rsidRDefault="00E06DD6" w:rsidP="006E3CBB">
      <w:pPr>
        <w:pStyle w:val="ListParagraph"/>
        <w:numPr>
          <w:ilvl w:val="0"/>
          <w:numId w:val="15"/>
        </w:numPr>
        <w:tabs>
          <w:tab w:val="left" w:pos="-15168"/>
          <w:tab w:val="left" w:pos="-15026"/>
        </w:tabs>
        <w:spacing w:before="100" w:beforeAutospacing="1" w:after="100" w:afterAutospacing="1" w:line="360" w:lineRule="auto"/>
        <w:jc w:val="both"/>
        <w:rPr>
          <w:rFonts w:ascii="FS Albert" w:eastAsia="Times New Roman" w:hAnsi="FS Albert" w:cs="Times New Roman"/>
          <w:color w:val="194062"/>
          <w:sz w:val="24"/>
          <w:szCs w:val="24"/>
          <w:lang w:eastAsia="en-GB"/>
        </w:rPr>
      </w:pPr>
      <w:r w:rsidRPr="00897785">
        <w:rPr>
          <w:rFonts w:ascii="FS Albert" w:eastAsia="Times New Roman" w:hAnsi="FS Albert" w:cs="Times New Roman"/>
          <w:color w:val="194062"/>
          <w:sz w:val="24"/>
          <w:szCs w:val="24"/>
          <w:lang w:eastAsia="en-GB"/>
        </w:rPr>
        <w:t>In light of section 106(3)(b), the issue of reasonable doubt is not at all times within the “exclusive preserve” of the jury, and the court has to assess the reasonableness of the verdict with the benefit of its collective knowledge and experience</w:t>
      </w:r>
      <w:r w:rsidR="00361AF8" w:rsidRPr="00897785">
        <w:rPr>
          <w:rStyle w:val="FootnoteReference"/>
          <w:rFonts w:ascii="FS Albert" w:eastAsia="Times New Roman" w:hAnsi="FS Albert" w:cs="Times New Roman"/>
          <w:color w:val="194062"/>
          <w:sz w:val="24"/>
          <w:szCs w:val="24"/>
          <w:lang w:eastAsia="en-GB"/>
        </w:rPr>
        <w:footnoteReference w:id="12"/>
      </w:r>
      <w:r w:rsidRPr="00897785">
        <w:rPr>
          <w:rFonts w:ascii="FS Albert" w:eastAsia="Times New Roman" w:hAnsi="FS Albert" w:cs="Times New Roman"/>
          <w:color w:val="194062"/>
          <w:sz w:val="24"/>
          <w:szCs w:val="24"/>
          <w:lang w:eastAsia="en-GB"/>
        </w:rPr>
        <w:t>.</w:t>
      </w:r>
      <w:r w:rsidR="00A7135F" w:rsidRPr="00897785">
        <w:rPr>
          <w:rFonts w:ascii="FS Albert" w:eastAsia="Times New Roman" w:hAnsi="FS Albert" w:cs="Times New Roman"/>
          <w:color w:val="194062"/>
          <w:sz w:val="24"/>
          <w:szCs w:val="24"/>
          <w:lang w:eastAsia="en-GB"/>
        </w:rPr>
        <w:t xml:space="preserve"> Situations may arise in which the jury’s </w:t>
      </w:r>
      <w:r w:rsidR="00A7135F" w:rsidRPr="00897785">
        <w:rPr>
          <w:rFonts w:ascii="FS Albert" w:eastAsia="Times New Roman" w:hAnsi="FS Albert" w:cs="Times New Roman"/>
          <w:color w:val="194062"/>
          <w:sz w:val="24"/>
          <w:szCs w:val="24"/>
          <w:lang w:eastAsia="en-GB"/>
        </w:rPr>
        <w:lastRenderedPageBreak/>
        <w:t xml:space="preserve">judgment on a question of credibility or reliability “simply cannot be supported </w:t>
      </w:r>
      <w:r w:rsidR="00361AF8" w:rsidRPr="00897785">
        <w:rPr>
          <w:rFonts w:ascii="FS Albert" w:eastAsia="Times New Roman" w:hAnsi="FS Albert" w:cs="Times New Roman"/>
          <w:color w:val="194062"/>
          <w:sz w:val="24"/>
          <w:szCs w:val="24"/>
          <w:lang w:eastAsia="en-GB"/>
        </w:rPr>
        <w:t>on a consideration…of what occurred at the trial.”</w:t>
      </w:r>
      <w:r w:rsidR="00361AF8" w:rsidRPr="00897785">
        <w:rPr>
          <w:rStyle w:val="FootnoteReference"/>
          <w:rFonts w:ascii="FS Albert" w:eastAsia="Times New Roman" w:hAnsi="FS Albert" w:cs="Times New Roman"/>
          <w:color w:val="194062"/>
          <w:sz w:val="24"/>
          <w:szCs w:val="24"/>
          <w:lang w:eastAsia="en-GB"/>
        </w:rPr>
        <w:footnoteReference w:id="13"/>
      </w:r>
      <w:r w:rsidR="00361AF8" w:rsidRPr="00897785">
        <w:rPr>
          <w:rFonts w:ascii="FS Albert" w:eastAsia="Times New Roman" w:hAnsi="FS Albert" w:cs="Times New Roman"/>
          <w:color w:val="194062"/>
          <w:sz w:val="24"/>
          <w:szCs w:val="24"/>
          <w:lang w:eastAsia="en-GB"/>
        </w:rPr>
        <w:t xml:space="preserve"> </w:t>
      </w:r>
    </w:p>
    <w:p w:rsidR="00A7135F" w:rsidRPr="00897785" w:rsidRDefault="006E3CBB" w:rsidP="00361AF8">
      <w:pPr>
        <w:pStyle w:val="ListParagraph"/>
        <w:numPr>
          <w:ilvl w:val="0"/>
          <w:numId w:val="15"/>
        </w:numPr>
        <w:tabs>
          <w:tab w:val="left" w:pos="-15168"/>
          <w:tab w:val="left" w:pos="-15026"/>
        </w:tabs>
        <w:spacing w:before="100" w:beforeAutospacing="1" w:after="100" w:afterAutospacing="1" w:line="360" w:lineRule="auto"/>
        <w:jc w:val="both"/>
        <w:rPr>
          <w:rFonts w:ascii="FS Albert" w:eastAsia="Times New Roman" w:hAnsi="FS Albert" w:cs="Times New Roman"/>
          <w:color w:val="194062"/>
          <w:sz w:val="24"/>
          <w:szCs w:val="24"/>
          <w:lang w:eastAsia="en-GB"/>
        </w:rPr>
      </w:pPr>
      <w:r w:rsidRPr="00897785">
        <w:rPr>
          <w:rFonts w:ascii="FS Albert" w:eastAsia="Times New Roman" w:hAnsi="FS Albert" w:cs="Times New Roman"/>
          <w:color w:val="194062"/>
          <w:sz w:val="24"/>
          <w:szCs w:val="24"/>
          <w:lang w:eastAsia="en-GB"/>
        </w:rPr>
        <w:t>In making that assessment, the C</w:t>
      </w:r>
      <w:r w:rsidR="00E06DD6" w:rsidRPr="00897785">
        <w:rPr>
          <w:rFonts w:ascii="FS Albert" w:eastAsia="Times New Roman" w:hAnsi="FS Albert" w:cs="Times New Roman"/>
          <w:color w:val="194062"/>
          <w:sz w:val="24"/>
          <w:szCs w:val="24"/>
          <w:lang w:eastAsia="en-GB"/>
        </w:rPr>
        <w:t>ourt must keep in mind that the jury saw and heard the witnesses: the meaning and significance of a witness’s evidence may not always be fully conveyed on the print</w:t>
      </w:r>
      <w:r w:rsidRPr="00897785">
        <w:rPr>
          <w:rFonts w:ascii="FS Albert" w:eastAsia="Times New Roman" w:hAnsi="FS Albert" w:cs="Times New Roman"/>
          <w:color w:val="194062"/>
          <w:sz w:val="24"/>
          <w:szCs w:val="24"/>
          <w:lang w:eastAsia="en-GB"/>
        </w:rPr>
        <w:t>ed page; but the C</w:t>
      </w:r>
      <w:r w:rsidR="00E06DD6" w:rsidRPr="00897785">
        <w:rPr>
          <w:rFonts w:ascii="FS Albert" w:eastAsia="Times New Roman" w:hAnsi="FS Albert" w:cs="Times New Roman"/>
          <w:color w:val="194062"/>
          <w:sz w:val="24"/>
          <w:szCs w:val="24"/>
          <w:lang w:eastAsia="en-GB"/>
        </w:rPr>
        <w:t>ourt must also consider whether, on the facts of the case before it, it is at any serious disadvantage to the jury in those respects</w:t>
      </w:r>
      <w:r w:rsidR="00361AF8" w:rsidRPr="00897785">
        <w:rPr>
          <w:rStyle w:val="FootnoteReference"/>
          <w:rFonts w:ascii="FS Albert" w:eastAsia="Times New Roman" w:hAnsi="FS Albert" w:cs="Times New Roman"/>
          <w:color w:val="194062"/>
          <w:sz w:val="24"/>
          <w:szCs w:val="24"/>
          <w:lang w:eastAsia="en-GB"/>
        </w:rPr>
        <w:footnoteReference w:id="14"/>
      </w:r>
      <w:r w:rsidR="00E06DD6" w:rsidRPr="00897785">
        <w:rPr>
          <w:rFonts w:ascii="FS Albert" w:eastAsia="Times New Roman" w:hAnsi="FS Albert" w:cs="Times New Roman"/>
          <w:color w:val="194062"/>
          <w:sz w:val="24"/>
          <w:szCs w:val="24"/>
          <w:lang w:eastAsia="en-GB"/>
        </w:rPr>
        <w:t>.</w:t>
      </w:r>
      <w:r w:rsidR="004B6B92" w:rsidRPr="00897785">
        <w:rPr>
          <w:rFonts w:ascii="FS Albert" w:eastAsia="Times New Roman" w:hAnsi="FS Albert" w:cs="Times New Roman"/>
          <w:color w:val="194062"/>
          <w:sz w:val="24"/>
          <w:szCs w:val="24"/>
          <w:lang w:eastAsia="en-GB"/>
        </w:rPr>
        <w:t xml:space="preserve"> The court will, in assessing the evidence do so “through the lens of judicial experience which serves as an additional protection against unwarranted conviction.”</w:t>
      </w:r>
      <w:r w:rsidR="004B6B92" w:rsidRPr="00897785">
        <w:rPr>
          <w:rStyle w:val="FootnoteReference"/>
          <w:rFonts w:ascii="FS Albert" w:eastAsia="Times New Roman" w:hAnsi="FS Albert" w:cs="Times New Roman"/>
          <w:color w:val="194062"/>
          <w:sz w:val="24"/>
          <w:szCs w:val="24"/>
          <w:lang w:eastAsia="en-GB"/>
        </w:rPr>
        <w:footnoteReference w:id="15"/>
      </w:r>
    </w:p>
    <w:p w:rsidR="00917291" w:rsidRPr="00897785" w:rsidRDefault="00917291" w:rsidP="00361AF8">
      <w:pPr>
        <w:pStyle w:val="ListParagraph"/>
        <w:numPr>
          <w:ilvl w:val="0"/>
          <w:numId w:val="15"/>
        </w:numPr>
        <w:tabs>
          <w:tab w:val="left" w:pos="-15168"/>
          <w:tab w:val="left" w:pos="-15026"/>
        </w:tabs>
        <w:spacing w:before="100" w:beforeAutospacing="1" w:after="100" w:afterAutospacing="1" w:line="360" w:lineRule="auto"/>
        <w:jc w:val="both"/>
        <w:rPr>
          <w:rFonts w:ascii="FS Albert" w:eastAsia="Times New Roman" w:hAnsi="FS Albert" w:cs="Times New Roman"/>
          <w:color w:val="194062"/>
          <w:sz w:val="24"/>
          <w:szCs w:val="24"/>
          <w:lang w:eastAsia="en-GB"/>
        </w:rPr>
      </w:pPr>
      <w:r w:rsidRPr="00897785">
        <w:rPr>
          <w:rFonts w:ascii="FS Albert" w:eastAsia="Times New Roman" w:hAnsi="FS Albert" w:cs="Times New Roman"/>
          <w:color w:val="194062"/>
          <w:sz w:val="24"/>
          <w:szCs w:val="24"/>
          <w:lang w:eastAsia="en-GB"/>
        </w:rPr>
        <w:t>As part of that assessment “it is no doubt correct in broad terms to say… that the evidence must reach a ‘base line’ of quality”.</w:t>
      </w:r>
      <w:r w:rsidRPr="00897785">
        <w:rPr>
          <w:rStyle w:val="FootnoteReference"/>
          <w:rFonts w:ascii="FS Albert" w:eastAsia="Times New Roman" w:hAnsi="FS Albert" w:cs="Times New Roman"/>
          <w:color w:val="194062"/>
          <w:sz w:val="24"/>
          <w:szCs w:val="24"/>
          <w:lang w:eastAsia="en-GB"/>
        </w:rPr>
        <w:footnoteReference w:id="16"/>
      </w:r>
      <w:r w:rsidRPr="00897785">
        <w:rPr>
          <w:rFonts w:ascii="FS Albert" w:eastAsia="Times New Roman" w:hAnsi="FS Albert" w:cs="Times New Roman"/>
          <w:color w:val="194062"/>
          <w:sz w:val="24"/>
          <w:szCs w:val="24"/>
          <w:lang w:eastAsia="en-GB"/>
        </w:rPr>
        <w:t xml:space="preserve"> </w:t>
      </w:r>
      <w:r w:rsidR="004B4501" w:rsidRPr="00897785">
        <w:rPr>
          <w:rFonts w:ascii="FS Albert" w:eastAsia="Times New Roman" w:hAnsi="FS Albert" w:cs="Times New Roman"/>
          <w:color w:val="194062"/>
          <w:sz w:val="24"/>
          <w:szCs w:val="24"/>
          <w:lang w:eastAsia="en-GB"/>
        </w:rPr>
        <w:t>For an appeal of this kind to succeed, t</w:t>
      </w:r>
      <w:r w:rsidRPr="00897785">
        <w:rPr>
          <w:rFonts w:ascii="FS Albert" w:eastAsia="Times New Roman" w:hAnsi="FS Albert" w:cs="Times New Roman"/>
          <w:color w:val="194062"/>
          <w:sz w:val="24"/>
          <w:szCs w:val="24"/>
          <w:lang w:eastAsia="en-GB"/>
        </w:rPr>
        <w:t>he Court requires to be satisfied that there was no “cogent framework of evidence” that the jury were entitled to accept as credible and reliable and which would have entitled</w:t>
      </w:r>
      <w:r w:rsidR="004D1251" w:rsidRPr="00897785">
        <w:rPr>
          <w:rFonts w:ascii="FS Albert" w:eastAsia="Times New Roman" w:hAnsi="FS Albert" w:cs="Times New Roman"/>
          <w:color w:val="194062"/>
          <w:sz w:val="24"/>
          <w:szCs w:val="24"/>
          <w:lang w:eastAsia="en-GB"/>
        </w:rPr>
        <w:t xml:space="preserve"> them</w:t>
      </w:r>
      <w:r w:rsidRPr="00897785">
        <w:rPr>
          <w:rFonts w:ascii="FS Albert" w:eastAsia="Times New Roman" w:hAnsi="FS Albert" w:cs="Times New Roman"/>
          <w:color w:val="194062"/>
          <w:sz w:val="24"/>
          <w:szCs w:val="24"/>
          <w:lang w:eastAsia="en-GB"/>
        </w:rPr>
        <w:t xml:space="preserve"> to return the verdict which they did.</w:t>
      </w:r>
      <w:r w:rsidRPr="00897785">
        <w:rPr>
          <w:rStyle w:val="FootnoteReference"/>
          <w:rFonts w:ascii="FS Albert" w:eastAsia="Times New Roman" w:hAnsi="FS Albert" w:cs="Times New Roman"/>
          <w:color w:val="194062"/>
          <w:sz w:val="24"/>
          <w:szCs w:val="24"/>
          <w:lang w:eastAsia="en-GB"/>
        </w:rPr>
        <w:footnoteReference w:id="17"/>
      </w:r>
      <w:r w:rsidRPr="00897785">
        <w:rPr>
          <w:rFonts w:ascii="FS Albert" w:eastAsia="Times New Roman" w:hAnsi="FS Albert" w:cs="Times New Roman"/>
          <w:color w:val="194062"/>
          <w:sz w:val="24"/>
          <w:szCs w:val="24"/>
          <w:lang w:eastAsia="en-GB"/>
        </w:rPr>
        <w:t xml:space="preserve"> </w:t>
      </w:r>
    </w:p>
    <w:p w:rsidR="00436E0F" w:rsidRPr="00897785" w:rsidRDefault="00436E0F" w:rsidP="00507CF9">
      <w:pPr>
        <w:pStyle w:val="ListParagraph"/>
        <w:numPr>
          <w:ilvl w:val="0"/>
          <w:numId w:val="15"/>
        </w:numPr>
        <w:tabs>
          <w:tab w:val="left" w:pos="-15168"/>
          <w:tab w:val="left" w:pos="-15026"/>
        </w:tabs>
        <w:spacing w:before="100" w:beforeAutospacing="1" w:after="100" w:afterAutospacing="1" w:line="360" w:lineRule="auto"/>
        <w:jc w:val="both"/>
        <w:rPr>
          <w:rFonts w:ascii="FS Albert" w:eastAsia="Times New Roman" w:hAnsi="FS Albert" w:cs="Times New Roman"/>
          <w:color w:val="194062"/>
          <w:sz w:val="24"/>
          <w:szCs w:val="24"/>
          <w:lang w:eastAsia="en-GB"/>
        </w:rPr>
      </w:pPr>
      <w:r w:rsidRPr="00897785">
        <w:rPr>
          <w:rFonts w:ascii="FS Albert" w:eastAsia="Times New Roman" w:hAnsi="FS Albert" w:cs="Times New Roman"/>
          <w:color w:val="194062"/>
          <w:sz w:val="24"/>
          <w:szCs w:val="24"/>
          <w:lang w:eastAsia="en-GB"/>
        </w:rPr>
        <w:t>The test for unreasonable verdict is applied strictly. Such appeals will only succeed in the “most exceptional circumstances”.</w:t>
      </w:r>
      <w:r w:rsidRPr="00897785">
        <w:rPr>
          <w:rStyle w:val="FootnoteReference"/>
          <w:rFonts w:ascii="FS Albert" w:eastAsia="Times New Roman" w:hAnsi="FS Albert" w:cs="Times New Roman"/>
          <w:color w:val="194062"/>
          <w:sz w:val="24"/>
          <w:szCs w:val="24"/>
          <w:lang w:eastAsia="en-GB"/>
        </w:rPr>
        <w:footnoteReference w:id="18"/>
      </w:r>
      <w:r w:rsidR="00507CF9" w:rsidRPr="00897785">
        <w:rPr>
          <w:rFonts w:ascii="FS Albert" w:eastAsia="Times New Roman" w:hAnsi="FS Albert" w:cs="Times New Roman"/>
          <w:color w:val="194062"/>
          <w:sz w:val="24"/>
          <w:szCs w:val="24"/>
          <w:lang w:eastAsia="en-GB"/>
        </w:rPr>
        <w:t xml:space="preserve"> The court in </w:t>
      </w:r>
      <w:r w:rsidR="00507CF9" w:rsidRPr="00897785">
        <w:rPr>
          <w:rFonts w:ascii="FS Albert" w:eastAsia="Times New Roman" w:hAnsi="FS Albert" w:cs="Times New Roman"/>
          <w:i/>
          <w:color w:val="194062"/>
          <w:sz w:val="24"/>
          <w:szCs w:val="24"/>
          <w:lang w:eastAsia="en-GB"/>
        </w:rPr>
        <w:t>MacKinnon</w:t>
      </w:r>
      <w:r w:rsidR="00507CF9" w:rsidRPr="00897785">
        <w:rPr>
          <w:rStyle w:val="FootnoteReference"/>
          <w:rFonts w:ascii="FS Albert" w:eastAsia="Times New Roman" w:hAnsi="FS Albert" w:cs="Times New Roman"/>
          <w:i/>
          <w:color w:val="194062"/>
          <w:sz w:val="24"/>
          <w:szCs w:val="24"/>
          <w:lang w:eastAsia="en-GB"/>
        </w:rPr>
        <w:footnoteReference w:id="19"/>
      </w:r>
      <w:r w:rsidR="00507CF9" w:rsidRPr="00897785">
        <w:rPr>
          <w:rFonts w:ascii="FS Albert" w:eastAsia="Times New Roman" w:hAnsi="FS Albert" w:cs="Times New Roman"/>
          <w:color w:val="194062"/>
          <w:sz w:val="24"/>
          <w:szCs w:val="24"/>
          <w:lang w:eastAsia="en-GB"/>
        </w:rPr>
        <w:t xml:space="preserve"> observed that, in order for that appeal to have succeeded, it would have required to conclude that “the evidence was so grossly riddled with deficiencies, contradictions and inconsistencies that no reasonable jury, properly directed, could have stamped it with the description of being reliable or credible.”</w:t>
      </w:r>
    </w:p>
    <w:p w:rsidR="00E06DD6" w:rsidRPr="00897785" w:rsidRDefault="00E06DD6" w:rsidP="006E3CBB">
      <w:pPr>
        <w:pStyle w:val="ListParagraph"/>
        <w:tabs>
          <w:tab w:val="left" w:pos="-15168"/>
          <w:tab w:val="left" w:pos="-15026"/>
        </w:tabs>
        <w:spacing w:before="100" w:beforeAutospacing="1" w:after="100" w:afterAutospacing="1" w:line="360" w:lineRule="auto"/>
        <w:jc w:val="both"/>
        <w:rPr>
          <w:rFonts w:ascii="FS Albert" w:eastAsia="Times New Roman" w:hAnsi="FS Albert" w:cs="Times New Roman"/>
          <w:color w:val="194062"/>
          <w:sz w:val="24"/>
          <w:szCs w:val="24"/>
          <w:lang w:eastAsia="en-GB"/>
        </w:rPr>
      </w:pPr>
    </w:p>
    <w:p w:rsidR="00361AF8" w:rsidRPr="00897785" w:rsidRDefault="00361AF8" w:rsidP="00B52A56">
      <w:pPr>
        <w:pStyle w:val="ListParagraph"/>
        <w:numPr>
          <w:ilvl w:val="0"/>
          <w:numId w:val="12"/>
        </w:numPr>
        <w:tabs>
          <w:tab w:val="left" w:pos="426"/>
          <w:tab w:val="left" w:pos="567"/>
        </w:tabs>
        <w:autoSpaceDE w:val="0"/>
        <w:autoSpaceDN w:val="0"/>
        <w:adjustRightInd w:val="0"/>
        <w:spacing w:before="100" w:beforeAutospacing="1" w:after="120" w:line="360" w:lineRule="auto"/>
        <w:ind w:left="0" w:firstLine="0"/>
        <w:contextualSpacing w:val="0"/>
        <w:jc w:val="both"/>
        <w:rPr>
          <w:rFonts w:ascii="FS Albert" w:eastAsia="Times New Roman" w:hAnsi="FS Albert" w:cs="Times New Roman"/>
          <w:color w:val="194062"/>
          <w:sz w:val="24"/>
          <w:szCs w:val="24"/>
          <w:lang w:eastAsia="en-GB"/>
        </w:rPr>
      </w:pPr>
      <w:r w:rsidRPr="00897785">
        <w:rPr>
          <w:rFonts w:ascii="FS Albert" w:eastAsia="Times New Roman" w:hAnsi="FS Albert" w:cs="Times New Roman"/>
          <w:color w:val="194062"/>
          <w:sz w:val="24"/>
          <w:szCs w:val="24"/>
          <w:lang w:eastAsia="en-GB"/>
        </w:rPr>
        <w:t xml:space="preserve">A distinct category of “unreasonable verdict” arises </w:t>
      </w:r>
      <w:r w:rsidR="00C91489" w:rsidRPr="00897785">
        <w:rPr>
          <w:rFonts w:ascii="FS Albert" w:eastAsia="Times New Roman" w:hAnsi="FS Albert" w:cs="Times New Roman"/>
          <w:color w:val="194062"/>
          <w:sz w:val="24"/>
          <w:szCs w:val="24"/>
          <w:lang w:eastAsia="en-GB"/>
        </w:rPr>
        <w:t xml:space="preserve">where it may be said that the verdict of the jury is irrational in the sense that it cannot be reconciled with the </w:t>
      </w:r>
      <w:r w:rsidR="00540ABB" w:rsidRPr="00897785">
        <w:rPr>
          <w:rFonts w:ascii="FS Albert" w:eastAsia="Times New Roman" w:hAnsi="FS Albert" w:cs="Times New Roman"/>
          <w:color w:val="194062"/>
          <w:sz w:val="24"/>
          <w:szCs w:val="24"/>
          <w:lang w:eastAsia="en-GB"/>
        </w:rPr>
        <w:t xml:space="preserve">case before </w:t>
      </w:r>
      <w:r w:rsidR="0081382E" w:rsidRPr="00897785">
        <w:rPr>
          <w:rFonts w:ascii="FS Albert" w:eastAsia="Times New Roman" w:hAnsi="FS Albert" w:cs="Times New Roman"/>
          <w:color w:val="194062"/>
          <w:sz w:val="24"/>
          <w:szCs w:val="24"/>
          <w:lang w:eastAsia="en-GB"/>
        </w:rPr>
        <w:t>them</w:t>
      </w:r>
      <w:r w:rsidR="00C91489" w:rsidRPr="00897785">
        <w:rPr>
          <w:rFonts w:ascii="FS Albert" w:eastAsia="Times New Roman" w:hAnsi="FS Albert" w:cs="Times New Roman"/>
          <w:color w:val="194062"/>
          <w:sz w:val="24"/>
          <w:szCs w:val="24"/>
          <w:lang w:eastAsia="en-GB"/>
        </w:rPr>
        <w:t xml:space="preserve">. The leading </w:t>
      </w:r>
      <w:r w:rsidR="0081382E" w:rsidRPr="00897785">
        <w:rPr>
          <w:rFonts w:ascii="FS Albert" w:eastAsia="Times New Roman" w:hAnsi="FS Albert" w:cs="Times New Roman"/>
          <w:color w:val="194062"/>
          <w:sz w:val="24"/>
          <w:szCs w:val="24"/>
          <w:lang w:eastAsia="en-GB"/>
        </w:rPr>
        <w:t>authority</w:t>
      </w:r>
      <w:r w:rsidR="00C91489" w:rsidRPr="00897785">
        <w:rPr>
          <w:rFonts w:ascii="FS Albert" w:eastAsia="Times New Roman" w:hAnsi="FS Albert" w:cs="Times New Roman"/>
          <w:color w:val="194062"/>
          <w:sz w:val="24"/>
          <w:szCs w:val="24"/>
          <w:lang w:eastAsia="en-GB"/>
        </w:rPr>
        <w:t xml:space="preserve"> is </w:t>
      </w:r>
      <w:r w:rsidR="00C91489" w:rsidRPr="00897785">
        <w:rPr>
          <w:rFonts w:ascii="FS Albert" w:eastAsia="Times New Roman" w:hAnsi="FS Albert" w:cs="Times New Roman"/>
          <w:i/>
          <w:color w:val="194062"/>
          <w:sz w:val="24"/>
          <w:szCs w:val="24"/>
          <w:lang w:eastAsia="en-GB"/>
        </w:rPr>
        <w:t>Rooney v HMA</w:t>
      </w:r>
      <w:r w:rsidR="00002E4F" w:rsidRPr="00897785">
        <w:rPr>
          <w:rStyle w:val="FootnoteReference"/>
          <w:rFonts w:ascii="FS Albert" w:eastAsia="Times New Roman" w:hAnsi="FS Albert" w:cs="Times New Roman"/>
          <w:i/>
          <w:color w:val="194062"/>
          <w:sz w:val="24"/>
          <w:szCs w:val="24"/>
          <w:lang w:eastAsia="en-GB"/>
        </w:rPr>
        <w:footnoteReference w:id="20"/>
      </w:r>
      <w:r w:rsidR="00C91489" w:rsidRPr="00897785">
        <w:rPr>
          <w:rFonts w:ascii="FS Albert" w:eastAsia="Times New Roman" w:hAnsi="FS Albert" w:cs="Times New Roman"/>
          <w:color w:val="194062"/>
          <w:sz w:val="24"/>
          <w:szCs w:val="24"/>
          <w:lang w:eastAsia="en-GB"/>
        </w:rPr>
        <w:t>, in which the appellant had been convicted of</w:t>
      </w:r>
      <w:r w:rsidR="00B52A56">
        <w:rPr>
          <w:rFonts w:ascii="FS Albert" w:eastAsia="Times New Roman" w:hAnsi="FS Albert" w:cs="Times New Roman"/>
          <w:color w:val="194062"/>
          <w:sz w:val="24"/>
          <w:szCs w:val="24"/>
          <w:lang w:eastAsia="en-GB"/>
        </w:rPr>
        <w:t xml:space="preserve"> charges</w:t>
      </w:r>
      <w:r w:rsidR="00C91489" w:rsidRPr="00897785">
        <w:rPr>
          <w:rFonts w:ascii="FS Albert" w:eastAsia="Times New Roman" w:hAnsi="FS Albert" w:cs="Times New Roman"/>
          <w:color w:val="194062"/>
          <w:sz w:val="24"/>
          <w:szCs w:val="24"/>
          <w:lang w:eastAsia="en-GB"/>
        </w:rPr>
        <w:t xml:space="preserve"> (1) and (3) on an indictment, but not of charge (2), although the other co-accused were found guilty of this charge. </w:t>
      </w:r>
      <w:r w:rsidR="0039051D" w:rsidRPr="00D562E3">
        <w:rPr>
          <w:rFonts w:ascii="FS Albert" w:eastAsia="Times New Roman" w:hAnsi="FS Albert" w:cs="Times New Roman"/>
          <w:color w:val="194062"/>
          <w:sz w:val="24"/>
          <w:szCs w:val="24"/>
          <w:lang w:eastAsia="en-GB"/>
        </w:rPr>
        <w:t>The court</w:t>
      </w:r>
      <w:r w:rsidR="00867E92" w:rsidRPr="00897785">
        <w:rPr>
          <w:rFonts w:ascii="FS Albert" w:eastAsia="Times New Roman" w:hAnsi="FS Albert" w:cs="Times New Roman"/>
          <w:color w:val="194062"/>
          <w:sz w:val="24"/>
          <w:szCs w:val="24"/>
          <w:lang w:eastAsia="en-GB"/>
        </w:rPr>
        <w:t xml:space="preserve"> accepted </w:t>
      </w:r>
      <w:r w:rsidR="00C91489" w:rsidRPr="00897785">
        <w:rPr>
          <w:rFonts w:ascii="FS Albert" w:eastAsia="Times New Roman" w:hAnsi="FS Albert" w:cs="Times New Roman"/>
          <w:color w:val="194062"/>
          <w:sz w:val="24"/>
          <w:szCs w:val="24"/>
          <w:lang w:eastAsia="en-GB"/>
        </w:rPr>
        <w:t xml:space="preserve">that the verdict </w:t>
      </w:r>
      <w:r w:rsidR="00C91489" w:rsidRPr="00897785">
        <w:rPr>
          <w:rFonts w:ascii="FS Albert" w:eastAsia="Times New Roman" w:hAnsi="FS Albert" w:cs="Times New Roman"/>
          <w:color w:val="194062"/>
          <w:sz w:val="24"/>
          <w:szCs w:val="24"/>
          <w:lang w:eastAsia="en-GB"/>
        </w:rPr>
        <w:lastRenderedPageBreak/>
        <w:t xml:space="preserve">lacked rationality in view of the fact that the case against the appellant was </w:t>
      </w:r>
      <w:r w:rsidR="008C7601" w:rsidRPr="00897785">
        <w:rPr>
          <w:rFonts w:ascii="FS Albert" w:eastAsia="Times New Roman" w:hAnsi="FS Albert" w:cs="Times New Roman"/>
          <w:color w:val="194062"/>
          <w:sz w:val="24"/>
          <w:szCs w:val="24"/>
          <w:lang w:eastAsia="en-GB"/>
        </w:rPr>
        <w:t>prosecuted</w:t>
      </w:r>
      <w:r w:rsidR="00C91489" w:rsidRPr="00897785">
        <w:rPr>
          <w:rFonts w:ascii="FS Albert" w:eastAsia="Times New Roman" w:hAnsi="FS Albert" w:cs="Times New Roman"/>
          <w:color w:val="194062"/>
          <w:sz w:val="24"/>
          <w:szCs w:val="24"/>
          <w:lang w:eastAsia="en-GB"/>
        </w:rPr>
        <w:t xml:space="preserve"> on the basis of concert. As a consequence his conviction on charge (3) was quashed. The verdict was </w:t>
      </w:r>
      <w:r w:rsidR="00C71821">
        <w:rPr>
          <w:rFonts w:ascii="FS Albert" w:eastAsia="Times New Roman" w:hAnsi="FS Albert" w:cs="Times New Roman"/>
          <w:color w:val="194062"/>
          <w:sz w:val="24"/>
          <w:szCs w:val="24"/>
          <w:lang w:eastAsia="en-GB"/>
        </w:rPr>
        <w:t>unreasonable because it was</w:t>
      </w:r>
      <w:r w:rsidR="00C91489" w:rsidRPr="00897785">
        <w:rPr>
          <w:rFonts w:ascii="FS Albert" w:eastAsia="Times New Roman" w:hAnsi="FS Albert" w:cs="Times New Roman"/>
          <w:color w:val="194062"/>
          <w:sz w:val="24"/>
          <w:szCs w:val="24"/>
          <w:lang w:eastAsia="en-GB"/>
        </w:rPr>
        <w:t xml:space="preserve"> internally inconsistent</w:t>
      </w:r>
      <w:r w:rsidR="00C71821">
        <w:rPr>
          <w:rStyle w:val="FootnoteReference"/>
          <w:rFonts w:ascii="FS Albert" w:eastAsia="Times New Roman" w:hAnsi="FS Albert" w:cs="Times New Roman"/>
          <w:color w:val="194062"/>
          <w:sz w:val="24"/>
          <w:szCs w:val="24"/>
          <w:lang w:eastAsia="en-GB"/>
        </w:rPr>
        <w:footnoteReference w:id="21"/>
      </w:r>
      <w:r w:rsidR="00C91489" w:rsidRPr="00897785">
        <w:rPr>
          <w:rFonts w:ascii="FS Albert" w:eastAsia="Times New Roman" w:hAnsi="FS Albert" w:cs="Times New Roman"/>
          <w:color w:val="194062"/>
          <w:sz w:val="24"/>
          <w:szCs w:val="24"/>
          <w:lang w:eastAsia="en-GB"/>
        </w:rPr>
        <w:t xml:space="preserve">. </w:t>
      </w:r>
      <w:r w:rsidR="00540ABB" w:rsidRPr="00897785">
        <w:rPr>
          <w:rFonts w:ascii="FS Albert" w:eastAsia="Times New Roman" w:hAnsi="FS Albert" w:cs="Times New Roman"/>
          <w:color w:val="194062"/>
          <w:sz w:val="24"/>
          <w:szCs w:val="24"/>
          <w:lang w:eastAsia="en-GB"/>
        </w:rPr>
        <w:t xml:space="preserve">Similarly, in </w:t>
      </w:r>
      <w:proofErr w:type="spellStart"/>
      <w:r w:rsidR="00540ABB" w:rsidRPr="00897785">
        <w:rPr>
          <w:rFonts w:ascii="FS Albert" w:eastAsia="Times New Roman" w:hAnsi="FS Albert" w:cs="Times New Roman"/>
          <w:i/>
          <w:color w:val="194062"/>
          <w:sz w:val="24"/>
          <w:szCs w:val="24"/>
          <w:lang w:eastAsia="en-GB"/>
        </w:rPr>
        <w:t>Climent</w:t>
      </w:r>
      <w:proofErr w:type="spellEnd"/>
      <w:r w:rsidR="00540ABB" w:rsidRPr="00897785">
        <w:rPr>
          <w:rFonts w:ascii="FS Albert" w:eastAsia="Times New Roman" w:hAnsi="FS Albert" w:cs="Times New Roman"/>
          <w:i/>
          <w:color w:val="194062"/>
          <w:sz w:val="24"/>
          <w:szCs w:val="24"/>
          <w:lang w:eastAsia="en-GB"/>
        </w:rPr>
        <w:t xml:space="preserve"> v HMA</w:t>
      </w:r>
      <w:r w:rsidR="00540ABB" w:rsidRPr="00897785">
        <w:rPr>
          <w:rStyle w:val="FootnoteReference"/>
          <w:rFonts w:ascii="FS Albert" w:eastAsia="Times New Roman" w:hAnsi="FS Albert" w:cs="Times New Roman"/>
          <w:i/>
          <w:color w:val="194062"/>
          <w:sz w:val="24"/>
          <w:szCs w:val="24"/>
          <w:lang w:eastAsia="en-GB"/>
        </w:rPr>
        <w:footnoteReference w:id="22"/>
      </w:r>
      <w:r w:rsidR="00540ABB" w:rsidRPr="00897785">
        <w:rPr>
          <w:rFonts w:ascii="FS Albert" w:eastAsia="Times New Roman" w:hAnsi="FS Albert" w:cs="Times New Roman"/>
          <w:color w:val="194062"/>
          <w:sz w:val="24"/>
          <w:szCs w:val="24"/>
          <w:lang w:eastAsia="en-GB"/>
        </w:rPr>
        <w:t>, the court held the jury’s verdict a miscarriage of justice on the basis that it could not be reconciled with the manner in which the trial judge had charged the jury.</w:t>
      </w:r>
      <w:r w:rsidR="00540ABB" w:rsidRPr="00897785">
        <w:rPr>
          <w:rStyle w:val="FootnoteReference"/>
          <w:rFonts w:ascii="FS Albert" w:eastAsia="Times New Roman" w:hAnsi="FS Albert" w:cs="Times New Roman"/>
          <w:color w:val="194062"/>
          <w:sz w:val="24"/>
          <w:szCs w:val="24"/>
          <w:lang w:eastAsia="en-GB"/>
        </w:rPr>
        <w:footnoteReference w:id="23"/>
      </w:r>
      <w:r w:rsidR="00540ABB" w:rsidRPr="00897785">
        <w:rPr>
          <w:rFonts w:ascii="FS Albert" w:eastAsia="Times New Roman" w:hAnsi="FS Albert" w:cs="Times New Roman"/>
          <w:color w:val="194062"/>
          <w:sz w:val="24"/>
          <w:szCs w:val="24"/>
          <w:lang w:eastAsia="en-GB"/>
        </w:rPr>
        <w:t xml:space="preserve"> </w:t>
      </w:r>
      <w:r w:rsidR="00F86897" w:rsidRPr="00897785">
        <w:rPr>
          <w:rFonts w:ascii="FS Albert" w:eastAsia="Times New Roman" w:hAnsi="FS Albert" w:cs="Times New Roman"/>
          <w:color w:val="194062"/>
          <w:sz w:val="24"/>
          <w:szCs w:val="24"/>
          <w:lang w:eastAsia="en-GB"/>
        </w:rPr>
        <w:t xml:space="preserve">These cases may be contrasted with </w:t>
      </w:r>
      <w:r w:rsidR="00F86897" w:rsidRPr="00897785">
        <w:rPr>
          <w:rFonts w:ascii="FS Albert" w:eastAsia="Times New Roman" w:hAnsi="FS Albert" w:cs="Times New Roman"/>
          <w:i/>
          <w:color w:val="194062"/>
          <w:sz w:val="24"/>
          <w:szCs w:val="24"/>
          <w:lang w:eastAsia="en-GB"/>
        </w:rPr>
        <w:t>Maxwell v HMA</w:t>
      </w:r>
      <w:r w:rsidR="00F86897" w:rsidRPr="00897785">
        <w:rPr>
          <w:rStyle w:val="FootnoteReference"/>
          <w:rFonts w:ascii="FS Albert" w:eastAsia="Times New Roman" w:hAnsi="FS Albert" w:cs="Times New Roman"/>
          <w:i/>
          <w:color w:val="194062"/>
          <w:sz w:val="24"/>
          <w:szCs w:val="24"/>
          <w:lang w:eastAsia="en-GB"/>
        </w:rPr>
        <w:footnoteReference w:id="24"/>
      </w:r>
      <w:r w:rsidR="00F86897" w:rsidRPr="00897785">
        <w:rPr>
          <w:rFonts w:ascii="FS Albert" w:eastAsia="Times New Roman" w:hAnsi="FS Albert" w:cs="Times New Roman"/>
          <w:color w:val="194062"/>
          <w:sz w:val="24"/>
          <w:szCs w:val="24"/>
          <w:lang w:eastAsia="en-GB"/>
        </w:rPr>
        <w:t xml:space="preserve">, in which the jury had convicted the appellant of travelling with the intention of engaging in unlawful intercourse with a 15 year old, but held another charge related to actual intercourse with the same 15 year old not proven. The appellant argued that the only live issue at the trial was the age of the girl. The court indicated that if this were the case, there would have been force in the contention that the verdict was unreasonable. </w:t>
      </w:r>
      <w:r w:rsidR="0039051D" w:rsidRPr="0039051D">
        <w:rPr>
          <w:rFonts w:ascii="FS Albert" w:eastAsia="Times New Roman" w:hAnsi="FS Albert" w:cs="Times New Roman"/>
          <w:color w:val="194062"/>
          <w:sz w:val="24"/>
          <w:szCs w:val="24"/>
          <w:lang w:eastAsia="en-GB"/>
        </w:rPr>
        <w:t xml:space="preserve">That was not, in fact, the </w:t>
      </w:r>
      <w:r w:rsidR="0039051D">
        <w:rPr>
          <w:rFonts w:ascii="FS Albert" w:eastAsia="Times New Roman" w:hAnsi="FS Albert" w:cs="Times New Roman"/>
          <w:color w:val="194062"/>
          <w:sz w:val="24"/>
          <w:szCs w:val="24"/>
          <w:lang w:eastAsia="en-GB"/>
        </w:rPr>
        <w:t>position</w:t>
      </w:r>
      <w:r w:rsidR="00F86897" w:rsidRPr="00897785">
        <w:rPr>
          <w:rFonts w:ascii="FS Albert" w:eastAsia="Times New Roman" w:hAnsi="FS Albert" w:cs="Times New Roman"/>
          <w:color w:val="194062"/>
          <w:sz w:val="24"/>
          <w:szCs w:val="24"/>
          <w:lang w:eastAsia="en-GB"/>
        </w:rPr>
        <w:t xml:space="preserve">. The sexual intercourse offence required corroboration of the act itself. This was supported by a different body of evidence than the travelling/grooming offence. It was not irrational for the jury to take a discriminating approach to the charges.  </w:t>
      </w:r>
    </w:p>
    <w:p w:rsidR="000418C0" w:rsidRPr="00897785" w:rsidRDefault="000418C0" w:rsidP="00B52A56">
      <w:pPr>
        <w:pStyle w:val="ListParagraph"/>
        <w:numPr>
          <w:ilvl w:val="0"/>
          <w:numId w:val="12"/>
        </w:numPr>
        <w:tabs>
          <w:tab w:val="left" w:pos="426"/>
          <w:tab w:val="left" w:pos="567"/>
        </w:tabs>
        <w:autoSpaceDE w:val="0"/>
        <w:autoSpaceDN w:val="0"/>
        <w:adjustRightInd w:val="0"/>
        <w:spacing w:before="100" w:beforeAutospacing="1" w:after="120" w:line="360" w:lineRule="auto"/>
        <w:ind w:left="0" w:firstLine="0"/>
        <w:contextualSpacing w:val="0"/>
        <w:jc w:val="both"/>
        <w:rPr>
          <w:rFonts w:ascii="FS Albert" w:eastAsia="Times New Roman" w:hAnsi="FS Albert" w:cs="Times New Roman"/>
          <w:color w:val="194062"/>
          <w:sz w:val="24"/>
          <w:szCs w:val="24"/>
          <w:lang w:eastAsia="en-GB"/>
        </w:rPr>
      </w:pPr>
      <w:r w:rsidRPr="00897785">
        <w:rPr>
          <w:rFonts w:ascii="FS Albert" w:eastAsia="Times New Roman" w:hAnsi="FS Albert" w:cs="Times New Roman"/>
          <w:color w:val="194062"/>
          <w:sz w:val="24"/>
          <w:szCs w:val="24"/>
          <w:lang w:eastAsia="en-GB"/>
        </w:rPr>
        <w:t xml:space="preserve">Appeals subsequent to </w:t>
      </w:r>
      <w:r w:rsidR="003E146A" w:rsidRPr="00897785">
        <w:rPr>
          <w:rFonts w:ascii="FS Albert" w:eastAsia="Times New Roman" w:hAnsi="FS Albert" w:cs="Times New Roman"/>
          <w:i/>
          <w:color w:val="194062"/>
          <w:sz w:val="24"/>
          <w:szCs w:val="24"/>
          <w:lang w:eastAsia="en-GB"/>
        </w:rPr>
        <w:t>E</w:t>
      </w:r>
      <w:r w:rsidR="00B52A56">
        <w:rPr>
          <w:rFonts w:ascii="FS Albert" w:eastAsia="Times New Roman" w:hAnsi="FS Albert" w:cs="Times New Roman"/>
          <w:i/>
          <w:color w:val="194062"/>
          <w:sz w:val="24"/>
          <w:szCs w:val="24"/>
          <w:lang w:eastAsia="en-GB"/>
        </w:rPr>
        <w:t xml:space="preserve"> v HMA</w:t>
      </w:r>
      <w:r w:rsidR="009819B7" w:rsidRPr="00897785">
        <w:rPr>
          <w:rFonts w:ascii="FS Albert" w:eastAsia="Times New Roman" w:hAnsi="FS Albert" w:cs="Times New Roman"/>
          <w:color w:val="194062"/>
          <w:sz w:val="24"/>
          <w:szCs w:val="24"/>
          <w:lang w:eastAsia="en-GB"/>
        </w:rPr>
        <w:t xml:space="preserve"> on</w:t>
      </w:r>
      <w:r w:rsidRPr="00897785">
        <w:rPr>
          <w:rFonts w:ascii="FS Albert" w:eastAsia="Times New Roman" w:hAnsi="FS Albert" w:cs="Times New Roman"/>
          <w:color w:val="194062"/>
          <w:sz w:val="24"/>
          <w:szCs w:val="24"/>
          <w:lang w:eastAsia="en-GB"/>
        </w:rPr>
        <w:t xml:space="preserve"> the basis that the jury’s verdict was unreasonable</w:t>
      </w:r>
      <w:r w:rsidR="00C91489" w:rsidRPr="00897785">
        <w:rPr>
          <w:rFonts w:ascii="FS Albert" w:eastAsia="Times New Roman" w:hAnsi="FS Albert" w:cs="Times New Roman"/>
          <w:color w:val="194062"/>
          <w:sz w:val="24"/>
          <w:szCs w:val="24"/>
          <w:lang w:eastAsia="en-GB"/>
        </w:rPr>
        <w:t xml:space="preserve"> as a result of the weakness of the Crown case</w:t>
      </w:r>
      <w:r w:rsidRPr="00897785">
        <w:rPr>
          <w:rFonts w:ascii="FS Albert" w:eastAsia="Times New Roman" w:hAnsi="FS Albert" w:cs="Times New Roman"/>
          <w:color w:val="194062"/>
          <w:sz w:val="24"/>
          <w:szCs w:val="24"/>
          <w:lang w:eastAsia="en-GB"/>
        </w:rPr>
        <w:t xml:space="preserve"> have not generally met with success.</w:t>
      </w:r>
      <w:r w:rsidR="00E06DD6" w:rsidRPr="00897785">
        <w:rPr>
          <w:rFonts w:ascii="FS Albert" w:eastAsia="Times New Roman" w:hAnsi="FS Albert" w:cs="Times New Roman"/>
          <w:color w:val="194062"/>
          <w:sz w:val="24"/>
          <w:szCs w:val="24"/>
          <w:lang w:eastAsia="en-GB"/>
        </w:rPr>
        <w:t xml:space="preserve"> Most appeals on these grounds relate to </w:t>
      </w:r>
      <w:r w:rsidR="00845143" w:rsidRPr="00897785">
        <w:rPr>
          <w:rFonts w:ascii="FS Albert" w:eastAsia="Times New Roman" w:hAnsi="FS Albert" w:cs="Times New Roman"/>
          <w:color w:val="194062"/>
          <w:sz w:val="24"/>
          <w:szCs w:val="24"/>
          <w:lang w:eastAsia="en-GB"/>
        </w:rPr>
        <w:t xml:space="preserve">alleged </w:t>
      </w:r>
      <w:r w:rsidR="00E06DD6" w:rsidRPr="00897785">
        <w:rPr>
          <w:rFonts w:ascii="FS Albert" w:eastAsia="Times New Roman" w:hAnsi="FS Albert" w:cs="Times New Roman"/>
          <w:color w:val="194062"/>
          <w:sz w:val="24"/>
          <w:szCs w:val="24"/>
          <w:lang w:eastAsia="en-GB"/>
        </w:rPr>
        <w:t xml:space="preserve">inconsistencies </w:t>
      </w:r>
      <w:r w:rsidR="00845143" w:rsidRPr="00897785">
        <w:rPr>
          <w:rFonts w:ascii="FS Albert" w:eastAsia="Times New Roman" w:hAnsi="FS Albert" w:cs="Times New Roman"/>
          <w:color w:val="194062"/>
          <w:sz w:val="24"/>
          <w:szCs w:val="24"/>
          <w:lang w:eastAsia="en-GB"/>
        </w:rPr>
        <w:t xml:space="preserve">in respect of the evidence of one or more </w:t>
      </w:r>
      <w:r w:rsidR="00E06DD6" w:rsidRPr="00897785">
        <w:rPr>
          <w:rFonts w:ascii="FS Albert" w:eastAsia="Times New Roman" w:hAnsi="FS Albert" w:cs="Times New Roman"/>
          <w:color w:val="194062"/>
          <w:sz w:val="24"/>
          <w:szCs w:val="24"/>
          <w:lang w:eastAsia="en-GB"/>
        </w:rPr>
        <w:t>witness</w:t>
      </w:r>
      <w:r w:rsidR="00845143" w:rsidRPr="00897785">
        <w:rPr>
          <w:rFonts w:ascii="FS Albert" w:eastAsia="Times New Roman" w:hAnsi="FS Albert" w:cs="Times New Roman"/>
          <w:color w:val="194062"/>
          <w:sz w:val="24"/>
          <w:szCs w:val="24"/>
          <w:lang w:eastAsia="en-GB"/>
        </w:rPr>
        <w:t xml:space="preserve"> and identification evidence in particular is</w:t>
      </w:r>
      <w:r w:rsidR="005D70A7" w:rsidRPr="00897785">
        <w:rPr>
          <w:rFonts w:ascii="FS Albert" w:eastAsia="Times New Roman" w:hAnsi="FS Albert" w:cs="Times New Roman"/>
          <w:color w:val="194062"/>
          <w:sz w:val="24"/>
          <w:szCs w:val="24"/>
          <w:lang w:eastAsia="en-GB"/>
        </w:rPr>
        <w:t xml:space="preserve"> a common focus.</w:t>
      </w:r>
      <w:r w:rsidR="00CF7B9B" w:rsidRPr="00897785">
        <w:rPr>
          <w:rFonts w:ascii="FS Albert" w:eastAsia="Times New Roman" w:hAnsi="FS Albert" w:cs="Times New Roman"/>
          <w:color w:val="194062"/>
          <w:sz w:val="24"/>
          <w:szCs w:val="24"/>
          <w:lang w:eastAsia="en-GB"/>
        </w:rPr>
        <w:t xml:space="preserve"> There are very many examples of such unsuccessful challenges to the credibility and reliability of Crown witnesses, including </w:t>
      </w:r>
      <w:r w:rsidR="00CF7B9B" w:rsidRPr="00897785">
        <w:rPr>
          <w:rFonts w:ascii="FS Albert" w:eastAsia="Times New Roman" w:hAnsi="FS Albert" w:cs="Times New Roman"/>
          <w:i/>
          <w:color w:val="194062"/>
          <w:sz w:val="24"/>
          <w:szCs w:val="24"/>
          <w:lang w:eastAsia="en-GB"/>
        </w:rPr>
        <w:t>Kerr v HMA</w:t>
      </w:r>
      <w:r w:rsidR="00CF7B9B" w:rsidRPr="00897785">
        <w:rPr>
          <w:rStyle w:val="FootnoteReference"/>
          <w:rFonts w:ascii="FS Albert" w:eastAsia="Times New Roman" w:hAnsi="FS Albert" w:cs="Times New Roman"/>
          <w:i/>
          <w:color w:val="194062"/>
          <w:sz w:val="24"/>
          <w:szCs w:val="24"/>
          <w:lang w:eastAsia="en-GB"/>
        </w:rPr>
        <w:footnoteReference w:id="25"/>
      </w:r>
      <w:r w:rsidR="00CF7B9B" w:rsidRPr="00897785">
        <w:rPr>
          <w:rFonts w:ascii="FS Albert" w:eastAsia="Times New Roman" w:hAnsi="FS Albert" w:cs="Times New Roman"/>
          <w:i/>
          <w:color w:val="194062"/>
          <w:sz w:val="24"/>
          <w:szCs w:val="24"/>
          <w:lang w:eastAsia="en-GB"/>
        </w:rPr>
        <w:t xml:space="preserve">, </w:t>
      </w:r>
      <w:proofErr w:type="spellStart"/>
      <w:r w:rsidR="00CF7B9B" w:rsidRPr="00897785">
        <w:rPr>
          <w:rFonts w:ascii="FS Albert" w:eastAsia="Times New Roman" w:hAnsi="FS Albert" w:cs="Times New Roman"/>
          <w:i/>
          <w:color w:val="194062"/>
          <w:sz w:val="24"/>
          <w:szCs w:val="24"/>
          <w:lang w:eastAsia="en-GB"/>
        </w:rPr>
        <w:t>Toal</w:t>
      </w:r>
      <w:proofErr w:type="spellEnd"/>
      <w:r w:rsidR="00CF7B9B" w:rsidRPr="00897785">
        <w:rPr>
          <w:rFonts w:ascii="FS Albert" w:eastAsia="Times New Roman" w:hAnsi="FS Albert" w:cs="Times New Roman"/>
          <w:i/>
          <w:color w:val="194062"/>
          <w:sz w:val="24"/>
          <w:szCs w:val="24"/>
          <w:lang w:eastAsia="en-GB"/>
        </w:rPr>
        <w:t xml:space="preserve"> v HMA</w:t>
      </w:r>
      <w:r w:rsidR="00CF7B9B" w:rsidRPr="00897785">
        <w:rPr>
          <w:rStyle w:val="FootnoteReference"/>
          <w:rFonts w:ascii="FS Albert" w:eastAsia="Times New Roman" w:hAnsi="FS Albert" w:cs="Times New Roman"/>
          <w:i/>
          <w:color w:val="194062"/>
          <w:sz w:val="24"/>
          <w:szCs w:val="24"/>
          <w:lang w:eastAsia="en-GB"/>
        </w:rPr>
        <w:footnoteReference w:id="26"/>
      </w:r>
      <w:r w:rsidR="00CF7B9B" w:rsidRPr="00897785">
        <w:rPr>
          <w:rFonts w:ascii="FS Albert" w:eastAsia="Times New Roman" w:hAnsi="FS Albert" w:cs="Times New Roman"/>
          <w:i/>
          <w:color w:val="194062"/>
          <w:sz w:val="24"/>
          <w:szCs w:val="24"/>
          <w:lang w:eastAsia="en-GB"/>
        </w:rPr>
        <w:t>, McDonald v HMA</w:t>
      </w:r>
      <w:r w:rsidR="00CF7B9B" w:rsidRPr="00897785">
        <w:rPr>
          <w:rStyle w:val="FootnoteReference"/>
          <w:rFonts w:ascii="FS Albert" w:eastAsia="Times New Roman" w:hAnsi="FS Albert" w:cs="Times New Roman"/>
          <w:i/>
          <w:color w:val="194062"/>
          <w:sz w:val="24"/>
          <w:szCs w:val="24"/>
          <w:lang w:eastAsia="en-GB"/>
        </w:rPr>
        <w:footnoteReference w:id="27"/>
      </w:r>
      <w:r w:rsidR="00CF7B9B" w:rsidRPr="00897785">
        <w:rPr>
          <w:rFonts w:ascii="FS Albert" w:eastAsia="Times New Roman" w:hAnsi="FS Albert" w:cs="Times New Roman"/>
          <w:color w:val="194062"/>
          <w:sz w:val="24"/>
          <w:szCs w:val="24"/>
          <w:lang w:eastAsia="en-GB"/>
        </w:rPr>
        <w:t>,</w:t>
      </w:r>
      <w:r w:rsidR="00CF7B9B" w:rsidRPr="00897785">
        <w:rPr>
          <w:rFonts w:ascii="FS Albert" w:eastAsia="Times New Roman" w:hAnsi="FS Albert" w:cs="Times New Roman"/>
          <w:i/>
          <w:color w:val="194062"/>
          <w:sz w:val="24"/>
          <w:szCs w:val="24"/>
          <w:lang w:eastAsia="en-GB"/>
        </w:rPr>
        <w:t xml:space="preserve"> Affleck v HMA</w:t>
      </w:r>
      <w:r w:rsidR="00CF7B9B" w:rsidRPr="00897785">
        <w:rPr>
          <w:rStyle w:val="FootnoteReference"/>
          <w:rFonts w:ascii="FS Albert" w:eastAsia="Times New Roman" w:hAnsi="FS Albert" w:cs="Times New Roman"/>
          <w:i/>
          <w:color w:val="194062"/>
          <w:sz w:val="24"/>
          <w:szCs w:val="24"/>
          <w:lang w:eastAsia="en-GB"/>
        </w:rPr>
        <w:footnoteReference w:id="28"/>
      </w:r>
      <w:r w:rsidR="00CF7B9B" w:rsidRPr="00897785">
        <w:rPr>
          <w:rFonts w:ascii="FS Albert" w:eastAsia="Times New Roman" w:hAnsi="FS Albert" w:cs="Times New Roman"/>
          <w:color w:val="194062"/>
          <w:sz w:val="24"/>
          <w:szCs w:val="24"/>
          <w:lang w:eastAsia="en-GB"/>
        </w:rPr>
        <w:t xml:space="preserve">, </w:t>
      </w:r>
      <w:r w:rsidR="00CF7B9B" w:rsidRPr="00897785">
        <w:rPr>
          <w:rFonts w:ascii="FS Albert" w:eastAsia="Times New Roman" w:hAnsi="FS Albert" w:cs="Times New Roman"/>
          <w:i/>
          <w:color w:val="194062"/>
          <w:sz w:val="24"/>
          <w:szCs w:val="24"/>
          <w:lang w:eastAsia="en-GB"/>
        </w:rPr>
        <w:t>Gage v HMA</w:t>
      </w:r>
      <w:r w:rsidR="00CF7B9B" w:rsidRPr="00897785">
        <w:rPr>
          <w:rStyle w:val="FootnoteReference"/>
          <w:rFonts w:ascii="FS Albert" w:eastAsia="Times New Roman" w:hAnsi="FS Albert" w:cs="Times New Roman"/>
          <w:i/>
          <w:color w:val="194062"/>
          <w:sz w:val="24"/>
          <w:szCs w:val="24"/>
          <w:lang w:eastAsia="en-GB"/>
        </w:rPr>
        <w:footnoteReference w:id="29"/>
      </w:r>
      <w:r w:rsidR="00CF7B9B" w:rsidRPr="00897785">
        <w:rPr>
          <w:rFonts w:ascii="FS Albert" w:eastAsia="Times New Roman" w:hAnsi="FS Albert" w:cs="Times New Roman"/>
          <w:i/>
          <w:color w:val="194062"/>
          <w:sz w:val="24"/>
          <w:szCs w:val="24"/>
          <w:lang w:eastAsia="en-GB"/>
        </w:rPr>
        <w:t xml:space="preserve"> </w:t>
      </w:r>
      <w:r w:rsidR="00CF7B9B" w:rsidRPr="00897785">
        <w:rPr>
          <w:rFonts w:ascii="FS Albert" w:eastAsia="Times New Roman" w:hAnsi="FS Albert" w:cs="Times New Roman"/>
          <w:color w:val="194062"/>
          <w:sz w:val="24"/>
          <w:szCs w:val="24"/>
          <w:lang w:eastAsia="en-GB"/>
        </w:rPr>
        <w:t xml:space="preserve">and </w:t>
      </w:r>
      <w:r w:rsidR="00CF7B9B" w:rsidRPr="00897785">
        <w:rPr>
          <w:rFonts w:ascii="FS Albert" w:eastAsia="Times New Roman" w:hAnsi="FS Albert" w:cs="Times New Roman"/>
          <w:i/>
          <w:color w:val="194062"/>
          <w:sz w:val="24"/>
          <w:szCs w:val="24"/>
          <w:lang w:eastAsia="en-GB"/>
        </w:rPr>
        <w:t>Henry v HMA</w:t>
      </w:r>
      <w:r w:rsidR="00CF7B9B" w:rsidRPr="00897785">
        <w:rPr>
          <w:rStyle w:val="FootnoteReference"/>
          <w:rFonts w:ascii="FS Albert" w:eastAsia="Times New Roman" w:hAnsi="FS Albert" w:cs="Times New Roman"/>
          <w:i/>
          <w:color w:val="194062"/>
          <w:sz w:val="24"/>
          <w:szCs w:val="24"/>
          <w:lang w:eastAsia="en-GB"/>
        </w:rPr>
        <w:footnoteReference w:id="30"/>
      </w:r>
      <w:r w:rsidR="0039051D" w:rsidRPr="0039051D">
        <w:rPr>
          <w:rFonts w:ascii="FS Albert" w:eastAsia="Times New Roman" w:hAnsi="FS Albert" w:cs="Times New Roman"/>
          <w:color w:val="194062"/>
          <w:sz w:val="24"/>
          <w:szCs w:val="24"/>
          <w:lang w:eastAsia="en-GB"/>
        </w:rPr>
        <w:t>. The latter four cases all ar</w:t>
      </w:r>
      <w:r w:rsidR="0039051D">
        <w:rPr>
          <w:rFonts w:ascii="FS Albert" w:eastAsia="Times New Roman" w:hAnsi="FS Albert" w:cs="Times New Roman"/>
          <w:color w:val="194062"/>
          <w:sz w:val="24"/>
          <w:szCs w:val="24"/>
          <w:lang w:eastAsia="en-GB"/>
        </w:rPr>
        <w:t>o</w:t>
      </w:r>
      <w:r w:rsidR="00CF7B9B" w:rsidRPr="00897785">
        <w:rPr>
          <w:rFonts w:ascii="FS Albert" w:eastAsia="Times New Roman" w:hAnsi="FS Albert" w:cs="Times New Roman"/>
          <w:color w:val="194062"/>
          <w:sz w:val="24"/>
          <w:szCs w:val="24"/>
          <w:lang w:eastAsia="en-GB"/>
        </w:rPr>
        <w:t xml:space="preserve">se from submissions about the quality of identification evidence. Both </w:t>
      </w:r>
      <w:r w:rsidR="00CF7B9B" w:rsidRPr="00897785">
        <w:rPr>
          <w:rFonts w:ascii="FS Albert" w:eastAsia="Times New Roman" w:hAnsi="FS Albert" w:cs="Times New Roman"/>
          <w:i/>
          <w:color w:val="194062"/>
          <w:sz w:val="24"/>
          <w:szCs w:val="24"/>
          <w:lang w:eastAsia="en-GB"/>
        </w:rPr>
        <w:t xml:space="preserve">Gage </w:t>
      </w:r>
      <w:r w:rsidR="00CF7B9B" w:rsidRPr="00897785">
        <w:rPr>
          <w:rFonts w:ascii="FS Albert" w:eastAsia="Times New Roman" w:hAnsi="FS Albert" w:cs="Times New Roman"/>
          <w:color w:val="194062"/>
          <w:sz w:val="24"/>
          <w:szCs w:val="24"/>
          <w:lang w:eastAsia="en-GB"/>
        </w:rPr>
        <w:t xml:space="preserve">and </w:t>
      </w:r>
      <w:r w:rsidR="00CF7B9B" w:rsidRPr="00897785">
        <w:rPr>
          <w:rFonts w:ascii="FS Albert" w:eastAsia="Times New Roman" w:hAnsi="FS Albert" w:cs="Times New Roman"/>
          <w:i/>
          <w:color w:val="194062"/>
          <w:sz w:val="24"/>
          <w:szCs w:val="24"/>
          <w:lang w:eastAsia="en-GB"/>
        </w:rPr>
        <w:t xml:space="preserve">Affleck </w:t>
      </w:r>
      <w:r w:rsidR="0039051D">
        <w:rPr>
          <w:rFonts w:ascii="FS Albert" w:eastAsia="Times New Roman" w:hAnsi="FS Albert" w:cs="Times New Roman"/>
          <w:color w:val="194062"/>
          <w:sz w:val="24"/>
          <w:szCs w:val="24"/>
          <w:lang w:eastAsia="en-GB"/>
        </w:rPr>
        <w:t>were</w:t>
      </w:r>
      <w:r w:rsidR="00CF7B9B" w:rsidRPr="00897785">
        <w:rPr>
          <w:rFonts w:ascii="FS Albert" w:eastAsia="Times New Roman" w:hAnsi="FS Albert" w:cs="Times New Roman"/>
          <w:color w:val="194062"/>
          <w:sz w:val="24"/>
          <w:szCs w:val="24"/>
          <w:lang w:eastAsia="en-GB"/>
        </w:rPr>
        <w:t xml:space="preserve"> Commission referrals, although in neither case had the Commission itself referred the case to the court on this particular ground</w:t>
      </w:r>
      <w:r w:rsidR="00CF7B9B" w:rsidRPr="00897785">
        <w:rPr>
          <w:rStyle w:val="FootnoteReference"/>
          <w:rFonts w:ascii="FS Albert" w:eastAsia="Times New Roman" w:hAnsi="FS Albert" w:cs="Times New Roman"/>
          <w:color w:val="194062"/>
          <w:sz w:val="24"/>
          <w:szCs w:val="24"/>
          <w:lang w:eastAsia="en-GB"/>
        </w:rPr>
        <w:footnoteReference w:id="31"/>
      </w:r>
      <w:r w:rsidR="00CF7B9B" w:rsidRPr="00897785">
        <w:rPr>
          <w:rFonts w:ascii="FS Albert" w:eastAsia="Times New Roman" w:hAnsi="FS Albert" w:cs="Times New Roman"/>
          <w:color w:val="194062"/>
          <w:sz w:val="24"/>
          <w:szCs w:val="24"/>
          <w:lang w:eastAsia="en-GB"/>
        </w:rPr>
        <w:t xml:space="preserve">. </w:t>
      </w:r>
    </w:p>
    <w:p w:rsidR="00B10003" w:rsidRPr="00897785" w:rsidRDefault="00B10003" w:rsidP="00B52A56">
      <w:pPr>
        <w:pStyle w:val="ListParagraph"/>
        <w:numPr>
          <w:ilvl w:val="0"/>
          <w:numId w:val="12"/>
        </w:numPr>
        <w:tabs>
          <w:tab w:val="left" w:pos="426"/>
          <w:tab w:val="left" w:pos="567"/>
        </w:tabs>
        <w:autoSpaceDE w:val="0"/>
        <w:autoSpaceDN w:val="0"/>
        <w:adjustRightInd w:val="0"/>
        <w:spacing w:before="100" w:beforeAutospacing="1" w:after="120" w:line="360" w:lineRule="auto"/>
        <w:ind w:left="0" w:firstLine="0"/>
        <w:contextualSpacing w:val="0"/>
        <w:jc w:val="both"/>
        <w:rPr>
          <w:rFonts w:ascii="FS Albert" w:eastAsia="Times New Roman" w:hAnsi="FS Albert" w:cs="Times New Roman"/>
          <w:color w:val="194062"/>
          <w:sz w:val="24"/>
          <w:szCs w:val="24"/>
          <w:lang w:eastAsia="en-GB"/>
        </w:rPr>
      </w:pPr>
      <w:r w:rsidRPr="00897785">
        <w:rPr>
          <w:rFonts w:ascii="FS Albert" w:eastAsia="Times New Roman" w:hAnsi="FS Albert" w:cs="Times New Roman"/>
          <w:color w:val="194062"/>
          <w:sz w:val="24"/>
          <w:szCs w:val="24"/>
          <w:lang w:eastAsia="en-GB"/>
        </w:rPr>
        <w:lastRenderedPageBreak/>
        <w:t xml:space="preserve">The case of </w:t>
      </w:r>
      <w:r w:rsidRPr="00897785">
        <w:rPr>
          <w:rFonts w:ascii="FS Albert" w:eastAsia="Times New Roman" w:hAnsi="FS Albert" w:cs="Times New Roman"/>
          <w:i/>
          <w:color w:val="194062"/>
          <w:sz w:val="24"/>
          <w:szCs w:val="24"/>
          <w:lang w:eastAsia="en-GB"/>
        </w:rPr>
        <w:t>Jenkins v HMA</w:t>
      </w:r>
      <w:r w:rsidR="004E77F5" w:rsidRPr="00897785">
        <w:rPr>
          <w:rStyle w:val="FootnoteReference"/>
          <w:rFonts w:ascii="FS Albert" w:eastAsia="Times New Roman" w:hAnsi="FS Albert" w:cs="Times New Roman"/>
          <w:i/>
          <w:color w:val="194062"/>
          <w:sz w:val="24"/>
          <w:szCs w:val="24"/>
          <w:lang w:eastAsia="en-GB"/>
        </w:rPr>
        <w:footnoteReference w:id="32"/>
      </w:r>
      <w:r w:rsidR="004E77F5" w:rsidRPr="00897785">
        <w:rPr>
          <w:rFonts w:ascii="FS Albert" w:eastAsia="Times New Roman" w:hAnsi="FS Albert" w:cs="Times New Roman"/>
          <w:i/>
          <w:color w:val="194062"/>
          <w:sz w:val="24"/>
          <w:szCs w:val="24"/>
          <w:lang w:eastAsia="en-GB"/>
        </w:rPr>
        <w:t xml:space="preserve"> </w:t>
      </w:r>
      <w:r w:rsidRPr="00897785">
        <w:rPr>
          <w:rFonts w:ascii="FS Albert" w:eastAsia="Times New Roman" w:hAnsi="FS Albert" w:cs="Times New Roman"/>
          <w:color w:val="194062"/>
          <w:sz w:val="24"/>
          <w:szCs w:val="24"/>
          <w:lang w:eastAsia="en-GB"/>
        </w:rPr>
        <w:t xml:space="preserve">provides a useful contrast to those mentioned in the foregoing paragraph. </w:t>
      </w:r>
      <w:r w:rsidR="0039051D">
        <w:rPr>
          <w:rFonts w:ascii="FS Albert" w:eastAsia="Times New Roman" w:hAnsi="FS Albert" w:cs="Times New Roman"/>
          <w:color w:val="194062"/>
          <w:sz w:val="24"/>
          <w:szCs w:val="24"/>
          <w:lang w:eastAsia="en-GB"/>
        </w:rPr>
        <w:t>In that case,</w:t>
      </w:r>
      <w:r w:rsidRPr="00897785">
        <w:rPr>
          <w:rFonts w:ascii="FS Albert" w:eastAsia="Times New Roman" w:hAnsi="FS Albert" w:cs="Times New Roman"/>
          <w:color w:val="194062"/>
          <w:sz w:val="24"/>
          <w:szCs w:val="24"/>
          <w:lang w:eastAsia="en-GB"/>
        </w:rPr>
        <w:t xml:space="preserve"> a</w:t>
      </w:r>
      <w:r w:rsidR="00B52A56">
        <w:rPr>
          <w:rFonts w:ascii="FS Albert" w:eastAsia="Times New Roman" w:hAnsi="FS Albert" w:cs="Times New Roman"/>
          <w:color w:val="194062"/>
          <w:sz w:val="24"/>
          <w:szCs w:val="24"/>
          <w:lang w:eastAsia="en-GB"/>
        </w:rPr>
        <w:t xml:space="preserve"> murder conviction turned on </w:t>
      </w:r>
      <w:proofErr w:type="gramStart"/>
      <w:r w:rsidR="00B52A56">
        <w:rPr>
          <w:rFonts w:ascii="FS Albert" w:eastAsia="Times New Roman" w:hAnsi="FS Albert" w:cs="Times New Roman"/>
          <w:color w:val="194062"/>
          <w:sz w:val="24"/>
          <w:szCs w:val="24"/>
          <w:lang w:eastAsia="en-GB"/>
        </w:rPr>
        <w:t xml:space="preserve">an </w:t>
      </w:r>
      <w:r w:rsidRPr="00897785">
        <w:rPr>
          <w:rFonts w:ascii="FS Albert" w:eastAsia="Times New Roman" w:hAnsi="FS Albert" w:cs="Times New Roman"/>
          <w:color w:val="194062"/>
          <w:sz w:val="24"/>
          <w:szCs w:val="24"/>
          <w:lang w:eastAsia="en-GB"/>
        </w:rPr>
        <w:t>eyewitness</w:t>
      </w:r>
      <w:proofErr w:type="gramEnd"/>
      <w:r w:rsidRPr="00897785">
        <w:rPr>
          <w:rFonts w:ascii="FS Albert" w:eastAsia="Times New Roman" w:hAnsi="FS Albert" w:cs="Times New Roman"/>
          <w:color w:val="194062"/>
          <w:sz w:val="24"/>
          <w:szCs w:val="24"/>
          <w:lang w:eastAsia="en-GB"/>
        </w:rPr>
        <w:t xml:space="preserve"> identification. The witness had been shown a picture of some men from a social networking site and had identified the appellant's nephew as the assailant with “100%” certainty. At a subsequent VIPER parade</w:t>
      </w:r>
      <w:r w:rsidRPr="00897785">
        <w:rPr>
          <w:rStyle w:val="FootnoteReference"/>
          <w:rFonts w:ascii="FS Albert" w:eastAsia="Times New Roman" w:hAnsi="FS Albert" w:cs="Times New Roman"/>
          <w:color w:val="194062"/>
          <w:sz w:val="24"/>
          <w:szCs w:val="24"/>
          <w:lang w:eastAsia="en-GB"/>
        </w:rPr>
        <w:footnoteReference w:id="33"/>
      </w:r>
      <w:r w:rsidRPr="00897785">
        <w:rPr>
          <w:rFonts w:ascii="FS Albert" w:eastAsia="Times New Roman" w:hAnsi="FS Albert" w:cs="Times New Roman"/>
          <w:color w:val="194062"/>
          <w:sz w:val="24"/>
          <w:szCs w:val="24"/>
          <w:lang w:eastAsia="en-GB"/>
        </w:rPr>
        <w:t xml:space="preserve"> the witness had again “showed interest” in the image of the appellant's nephew, but identified a police stand-in as either the perpetrator of the murder or a convincing lookalike. At a second VIPER, which included a picture of the appellant, he had failed to make a positive identification. Subsequently, he had attended at the local Sheriff Court on an unrelated matter. There, the appellant was called in relation to a separate charge of breach of the peace. The witness had recognised the appellant (again with “100%” certainty) as the assailant. By this stage, the witness knew that the appellant was in custody for the murder, and also knew his name. At trial, the witness had identified the appellant in the dock. The trial judge told the jury that they could only convict the appellant of charge two if they believed that the dock identification was credible and reliable. The court at appeal held that no reasonable jury could have considered the witness’s evidence reliable.</w:t>
      </w:r>
    </w:p>
    <w:p w:rsidR="00030B6C" w:rsidRPr="00897785" w:rsidRDefault="004E77F5" w:rsidP="00B52A56">
      <w:pPr>
        <w:pStyle w:val="ListParagraph"/>
        <w:numPr>
          <w:ilvl w:val="0"/>
          <w:numId w:val="12"/>
        </w:numPr>
        <w:tabs>
          <w:tab w:val="left" w:pos="426"/>
          <w:tab w:val="left" w:pos="567"/>
        </w:tabs>
        <w:autoSpaceDE w:val="0"/>
        <w:autoSpaceDN w:val="0"/>
        <w:adjustRightInd w:val="0"/>
        <w:spacing w:before="100" w:beforeAutospacing="1" w:after="120" w:line="360" w:lineRule="auto"/>
        <w:ind w:left="0" w:firstLine="0"/>
        <w:contextualSpacing w:val="0"/>
        <w:jc w:val="both"/>
        <w:rPr>
          <w:rFonts w:ascii="FS Albert" w:eastAsia="Times New Roman" w:hAnsi="FS Albert" w:cs="Times New Roman"/>
          <w:color w:val="194062"/>
          <w:sz w:val="24"/>
          <w:szCs w:val="24"/>
          <w:lang w:eastAsia="en-GB"/>
        </w:rPr>
      </w:pPr>
      <w:r w:rsidRPr="00897785">
        <w:rPr>
          <w:rFonts w:ascii="FS Albert" w:eastAsia="Times New Roman" w:hAnsi="FS Albert" w:cs="Times New Roman"/>
          <w:color w:val="194062"/>
          <w:sz w:val="24"/>
          <w:szCs w:val="24"/>
          <w:lang w:eastAsia="en-GB"/>
        </w:rPr>
        <w:t xml:space="preserve">Shortly thereafter, in </w:t>
      </w:r>
      <w:r w:rsidRPr="00897785">
        <w:rPr>
          <w:rFonts w:ascii="FS Albert" w:eastAsia="Times New Roman" w:hAnsi="FS Albert" w:cs="Times New Roman"/>
          <w:i/>
          <w:color w:val="194062"/>
          <w:sz w:val="24"/>
          <w:szCs w:val="24"/>
          <w:lang w:eastAsia="en-GB"/>
        </w:rPr>
        <w:t>McNally v HMA</w:t>
      </w:r>
      <w:r w:rsidRPr="00897785">
        <w:rPr>
          <w:rStyle w:val="FootnoteReference"/>
          <w:rFonts w:ascii="FS Albert" w:eastAsia="Times New Roman" w:hAnsi="FS Albert" w:cs="Times New Roman"/>
          <w:i/>
          <w:color w:val="194062"/>
          <w:sz w:val="24"/>
          <w:szCs w:val="24"/>
          <w:lang w:eastAsia="en-GB"/>
        </w:rPr>
        <w:footnoteReference w:id="34"/>
      </w:r>
      <w:r w:rsidRPr="00897785">
        <w:rPr>
          <w:rFonts w:ascii="FS Albert" w:eastAsia="Times New Roman" w:hAnsi="FS Albert" w:cs="Times New Roman"/>
          <w:color w:val="194062"/>
          <w:sz w:val="24"/>
          <w:szCs w:val="24"/>
          <w:lang w:eastAsia="en-GB"/>
        </w:rPr>
        <w:t xml:space="preserve">, the court found itself considering another case with some superficial similarities to </w:t>
      </w:r>
      <w:r w:rsidRPr="00897785">
        <w:rPr>
          <w:rFonts w:ascii="FS Albert" w:eastAsia="Times New Roman" w:hAnsi="FS Albert" w:cs="Times New Roman"/>
          <w:i/>
          <w:color w:val="194062"/>
          <w:sz w:val="24"/>
          <w:szCs w:val="24"/>
          <w:lang w:eastAsia="en-GB"/>
        </w:rPr>
        <w:t xml:space="preserve">Jenkins. </w:t>
      </w:r>
      <w:r w:rsidRPr="00897785">
        <w:rPr>
          <w:rFonts w:ascii="FS Albert" w:eastAsia="Times New Roman" w:hAnsi="FS Albert" w:cs="Times New Roman"/>
          <w:color w:val="194062"/>
          <w:sz w:val="24"/>
          <w:szCs w:val="24"/>
          <w:lang w:eastAsia="en-GB"/>
        </w:rPr>
        <w:t xml:space="preserve">On that occasion, it declined to quash the conviction, reiterating that </w:t>
      </w:r>
      <w:r w:rsidR="00F92345" w:rsidRPr="00897785">
        <w:rPr>
          <w:rFonts w:ascii="FS Albert" w:eastAsia="Times New Roman" w:hAnsi="FS Albert" w:cs="Times New Roman"/>
          <w:color w:val="194062"/>
          <w:sz w:val="24"/>
          <w:szCs w:val="24"/>
          <w:lang w:eastAsia="en-GB"/>
        </w:rPr>
        <w:t xml:space="preserve">the test in such cases was a high one. Whilst the circumstances in </w:t>
      </w:r>
      <w:r w:rsidR="00F92345" w:rsidRPr="00897785">
        <w:rPr>
          <w:rFonts w:ascii="FS Albert" w:eastAsia="Times New Roman" w:hAnsi="FS Albert" w:cs="Times New Roman"/>
          <w:i/>
          <w:color w:val="194062"/>
          <w:sz w:val="24"/>
          <w:szCs w:val="24"/>
          <w:lang w:eastAsia="en-GB"/>
        </w:rPr>
        <w:t>Jenkins</w:t>
      </w:r>
      <w:r w:rsidR="00F92345" w:rsidRPr="00897785">
        <w:rPr>
          <w:rFonts w:ascii="FS Albert" w:eastAsia="Times New Roman" w:hAnsi="FS Albert" w:cs="Times New Roman"/>
          <w:color w:val="194062"/>
          <w:sz w:val="24"/>
          <w:szCs w:val="24"/>
          <w:lang w:eastAsia="en-GB"/>
        </w:rPr>
        <w:t xml:space="preserve"> were “not necessarily unique”, the case was “</w:t>
      </w:r>
      <w:r w:rsidR="00F92345" w:rsidRPr="00897785">
        <w:rPr>
          <w:rFonts w:ascii="FS Albert" w:hAnsi="FS Albert"/>
          <w:color w:val="194062"/>
          <w:sz w:val="24"/>
          <w:szCs w:val="24"/>
          <w:shd w:val="clear" w:color="auto" w:fill="FFFFFF"/>
        </w:rPr>
        <w:t xml:space="preserve">truly exceptional on its facts and circumstances”. Vital evidence in that case had been “grossly riddled with deficiencies, contradictions and inconsistencies”. Nothing in </w:t>
      </w:r>
      <w:r w:rsidR="00F92345" w:rsidRPr="00897785">
        <w:rPr>
          <w:rFonts w:ascii="FS Albert" w:hAnsi="FS Albert"/>
          <w:i/>
          <w:color w:val="194062"/>
          <w:sz w:val="24"/>
          <w:szCs w:val="24"/>
          <w:shd w:val="clear" w:color="auto" w:fill="FFFFFF"/>
        </w:rPr>
        <w:t xml:space="preserve">Jenkins </w:t>
      </w:r>
      <w:r w:rsidR="00F92345" w:rsidRPr="00897785">
        <w:rPr>
          <w:rFonts w:ascii="FS Albert" w:hAnsi="FS Albert"/>
          <w:color w:val="194062"/>
          <w:sz w:val="24"/>
          <w:szCs w:val="24"/>
          <w:shd w:val="clear" w:color="auto" w:fill="FFFFFF"/>
        </w:rPr>
        <w:t xml:space="preserve">should be taken as a departure from the statements of the law found in cases such as </w:t>
      </w:r>
      <w:r w:rsidR="00F92345" w:rsidRPr="00897785">
        <w:rPr>
          <w:rFonts w:ascii="FS Albert" w:hAnsi="FS Albert"/>
          <w:i/>
          <w:color w:val="194062"/>
          <w:sz w:val="24"/>
          <w:szCs w:val="24"/>
          <w:shd w:val="clear" w:color="auto" w:fill="FFFFFF"/>
        </w:rPr>
        <w:t>King.</w:t>
      </w:r>
      <w:r w:rsidR="00F92345" w:rsidRPr="00897785">
        <w:rPr>
          <w:rFonts w:ascii="FS Albert" w:eastAsia="Times New Roman" w:hAnsi="FS Albert" w:cs="Times New Roman"/>
          <w:i/>
          <w:color w:val="194062"/>
          <w:sz w:val="24"/>
          <w:szCs w:val="24"/>
          <w:lang w:eastAsia="en-GB"/>
        </w:rPr>
        <w:t xml:space="preserve"> </w:t>
      </w:r>
      <w:r w:rsidRPr="00897785">
        <w:rPr>
          <w:rFonts w:ascii="FS Albert" w:eastAsia="Times New Roman" w:hAnsi="FS Albert" w:cs="Times New Roman"/>
          <w:color w:val="194062"/>
          <w:sz w:val="24"/>
          <w:szCs w:val="24"/>
          <w:lang w:eastAsia="en-GB"/>
        </w:rPr>
        <w:t xml:space="preserve"> </w:t>
      </w:r>
    </w:p>
    <w:p w:rsidR="001B1794" w:rsidRPr="00897785" w:rsidRDefault="001B1794" w:rsidP="00130123">
      <w:pPr>
        <w:pStyle w:val="ListParagraph"/>
        <w:tabs>
          <w:tab w:val="left" w:pos="426"/>
          <w:tab w:val="left" w:pos="567"/>
        </w:tabs>
        <w:autoSpaceDE w:val="0"/>
        <w:autoSpaceDN w:val="0"/>
        <w:adjustRightInd w:val="0"/>
        <w:spacing w:before="100" w:beforeAutospacing="1" w:after="100" w:afterAutospacing="1" w:line="360" w:lineRule="auto"/>
        <w:jc w:val="both"/>
        <w:rPr>
          <w:rFonts w:ascii="FS Albert" w:eastAsia="Times New Roman" w:hAnsi="FS Albert" w:cs="Times New Roman"/>
          <w:color w:val="194062"/>
          <w:sz w:val="24"/>
          <w:szCs w:val="24"/>
          <w:lang w:eastAsia="en-GB"/>
        </w:rPr>
      </w:pPr>
    </w:p>
    <w:p w:rsidR="00CC2EBC" w:rsidRPr="00897785" w:rsidRDefault="00CC2EBC" w:rsidP="001B1794">
      <w:pPr>
        <w:pStyle w:val="ListParagraph"/>
        <w:tabs>
          <w:tab w:val="left" w:pos="426"/>
          <w:tab w:val="left" w:pos="567"/>
        </w:tabs>
        <w:autoSpaceDE w:val="0"/>
        <w:autoSpaceDN w:val="0"/>
        <w:adjustRightInd w:val="0"/>
        <w:spacing w:before="100" w:beforeAutospacing="1" w:after="100" w:afterAutospacing="1" w:line="360" w:lineRule="auto"/>
        <w:ind w:left="0"/>
        <w:jc w:val="both"/>
        <w:rPr>
          <w:rFonts w:ascii="FS Albert" w:eastAsia="Times New Roman" w:hAnsi="FS Albert" w:cs="Times New Roman"/>
          <w:b/>
          <w:color w:val="194062"/>
          <w:sz w:val="24"/>
          <w:szCs w:val="24"/>
          <w:lang w:eastAsia="en-GB"/>
        </w:rPr>
      </w:pPr>
      <w:r w:rsidRPr="00897785">
        <w:rPr>
          <w:rFonts w:ascii="FS Albert" w:eastAsia="Times New Roman" w:hAnsi="FS Albert" w:cs="Times New Roman"/>
          <w:b/>
          <w:color w:val="194062"/>
          <w:sz w:val="24"/>
          <w:szCs w:val="24"/>
          <w:lang w:eastAsia="en-GB"/>
        </w:rPr>
        <w:t>Summary Cases</w:t>
      </w:r>
    </w:p>
    <w:p w:rsidR="001B1794" w:rsidRPr="00897785" w:rsidRDefault="001B1794" w:rsidP="001B1794">
      <w:pPr>
        <w:pStyle w:val="ListParagraph"/>
        <w:tabs>
          <w:tab w:val="left" w:pos="426"/>
          <w:tab w:val="left" w:pos="567"/>
        </w:tabs>
        <w:autoSpaceDE w:val="0"/>
        <w:autoSpaceDN w:val="0"/>
        <w:adjustRightInd w:val="0"/>
        <w:spacing w:before="100" w:beforeAutospacing="1" w:after="100" w:afterAutospacing="1" w:line="360" w:lineRule="auto"/>
        <w:ind w:left="0"/>
        <w:jc w:val="both"/>
        <w:rPr>
          <w:rFonts w:ascii="FS Albert" w:eastAsia="Times New Roman" w:hAnsi="FS Albert" w:cs="Times New Roman"/>
          <w:b/>
          <w:color w:val="194062"/>
          <w:sz w:val="24"/>
          <w:szCs w:val="24"/>
          <w:lang w:eastAsia="en-GB"/>
        </w:rPr>
      </w:pPr>
    </w:p>
    <w:p w:rsidR="00CC2EBC" w:rsidRPr="00897785" w:rsidRDefault="006E0B08" w:rsidP="00B52A56">
      <w:pPr>
        <w:pStyle w:val="ListParagraph"/>
        <w:numPr>
          <w:ilvl w:val="0"/>
          <w:numId w:val="12"/>
        </w:numPr>
        <w:spacing w:after="120" w:line="360" w:lineRule="auto"/>
        <w:ind w:left="0" w:firstLine="68"/>
        <w:contextualSpacing w:val="0"/>
        <w:jc w:val="both"/>
        <w:rPr>
          <w:rFonts w:ascii="FS Albert" w:hAnsi="FS Albert"/>
          <w:color w:val="194062"/>
          <w:sz w:val="24"/>
          <w:szCs w:val="24"/>
        </w:rPr>
      </w:pPr>
      <w:r w:rsidRPr="00897785">
        <w:rPr>
          <w:rFonts w:ascii="FS Albert" w:hAnsi="FS Albert"/>
          <w:color w:val="194062"/>
          <w:sz w:val="24"/>
          <w:szCs w:val="24"/>
        </w:rPr>
        <w:t xml:space="preserve">Section 175 of the 1995 Act, the summary counterpart to s106, has no provision analogous to </w:t>
      </w:r>
      <w:proofErr w:type="gramStart"/>
      <w:r w:rsidRPr="00897785">
        <w:rPr>
          <w:rFonts w:ascii="FS Albert" w:hAnsi="FS Albert"/>
          <w:color w:val="194062"/>
          <w:sz w:val="24"/>
          <w:szCs w:val="24"/>
        </w:rPr>
        <w:t>s106(</w:t>
      </w:r>
      <w:proofErr w:type="gramEnd"/>
      <w:r w:rsidRPr="00897785">
        <w:rPr>
          <w:rFonts w:ascii="FS Albert" w:hAnsi="FS Albert"/>
          <w:color w:val="194062"/>
          <w:sz w:val="24"/>
          <w:szCs w:val="24"/>
        </w:rPr>
        <w:t xml:space="preserve">3)(b). It would, self-evidently, not be possible to scrutinise the decision making of the “jury” in a process in which a justice or sheriff has acted as finder of fact. It is, nonetheless, competent to challenge the decision making of the finder of fact in summary procedure. In </w:t>
      </w:r>
      <w:proofErr w:type="spellStart"/>
      <w:r w:rsidRPr="00897785">
        <w:rPr>
          <w:rFonts w:ascii="FS Albert" w:hAnsi="FS Albert"/>
          <w:i/>
          <w:color w:val="194062"/>
          <w:sz w:val="24"/>
          <w:szCs w:val="24"/>
        </w:rPr>
        <w:t>Aien</w:t>
      </w:r>
      <w:proofErr w:type="spellEnd"/>
      <w:r w:rsidRPr="00897785">
        <w:rPr>
          <w:rFonts w:ascii="FS Albert" w:hAnsi="FS Albert"/>
          <w:i/>
          <w:color w:val="194062"/>
          <w:sz w:val="24"/>
          <w:szCs w:val="24"/>
        </w:rPr>
        <w:t xml:space="preserve"> v Dunn</w:t>
      </w:r>
      <w:r w:rsidRPr="00897785">
        <w:rPr>
          <w:rStyle w:val="FootnoteReference"/>
          <w:rFonts w:ascii="FS Albert" w:hAnsi="FS Albert"/>
          <w:i/>
          <w:color w:val="194062"/>
          <w:sz w:val="24"/>
          <w:szCs w:val="24"/>
        </w:rPr>
        <w:footnoteReference w:id="35"/>
      </w:r>
      <w:r w:rsidRPr="00897785">
        <w:rPr>
          <w:rFonts w:ascii="FS Albert" w:hAnsi="FS Albert"/>
          <w:color w:val="194062"/>
          <w:sz w:val="24"/>
          <w:szCs w:val="24"/>
        </w:rPr>
        <w:t xml:space="preserve">, the appeal was framed in such a way as to argue </w:t>
      </w:r>
      <w:r w:rsidRPr="00897785">
        <w:rPr>
          <w:rFonts w:ascii="FS Albert" w:hAnsi="FS Albert"/>
          <w:color w:val="194062"/>
          <w:sz w:val="24"/>
          <w:szCs w:val="24"/>
        </w:rPr>
        <w:lastRenderedPageBreak/>
        <w:t>that “no reasonable sheriff properly directed could have returned a verdic</w:t>
      </w:r>
      <w:r w:rsidR="001B6C8B">
        <w:rPr>
          <w:rFonts w:ascii="FS Albert" w:hAnsi="FS Albert"/>
          <w:color w:val="194062"/>
          <w:sz w:val="24"/>
          <w:szCs w:val="24"/>
        </w:rPr>
        <w:t xml:space="preserve">t of guilty.” </w:t>
      </w:r>
      <w:r w:rsidRPr="00897785">
        <w:rPr>
          <w:rFonts w:ascii="FS Albert" w:hAnsi="FS Albert"/>
          <w:color w:val="194062"/>
          <w:sz w:val="24"/>
          <w:szCs w:val="24"/>
        </w:rPr>
        <w:t xml:space="preserve"> </w:t>
      </w:r>
      <w:r w:rsidR="00C27EDD" w:rsidRPr="00897785">
        <w:rPr>
          <w:rFonts w:ascii="FS Albert" w:hAnsi="FS Albert"/>
          <w:color w:val="194062"/>
          <w:sz w:val="24"/>
          <w:szCs w:val="24"/>
        </w:rPr>
        <w:t xml:space="preserve">Nonetheless, the Sheriff Appeal Court decided the case by focusing on </w:t>
      </w:r>
      <w:r w:rsidR="00720D84" w:rsidRPr="00897785">
        <w:rPr>
          <w:rFonts w:ascii="FS Albert" w:hAnsi="FS Albert"/>
          <w:color w:val="194062"/>
          <w:sz w:val="24"/>
          <w:szCs w:val="24"/>
        </w:rPr>
        <w:t xml:space="preserve">specific weaknesses that it considered that it had detected in sheriff’s reasoning and the supposed inadequacy of her explanations. This is in line with the approach taken in cases such as </w:t>
      </w:r>
      <w:proofErr w:type="spellStart"/>
      <w:r w:rsidR="00720D84" w:rsidRPr="00897785">
        <w:rPr>
          <w:rFonts w:ascii="FS Albert" w:hAnsi="FS Albert"/>
          <w:i/>
          <w:color w:val="194062"/>
          <w:sz w:val="24"/>
          <w:szCs w:val="24"/>
        </w:rPr>
        <w:t>Petrovich</w:t>
      </w:r>
      <w:proofErr w:type="spellEnd"/>
      <w:r w:rsidR="00720D84" w:rsidRPr="00897785">
        <w:rPr>
          <w:rFonts w:ascii="FS Albert" w:hAnsi="FS Albert"/>
          <w:i/>
          <w:color w:val="194062"/>
          <w:sz w:val="24"/>
          <w:szCs w:val="24"/>
        </w:rPr>
        <w:t xml:space="preserve"> v Jessop</w:t>
      </w:r>
      <w:r w:rsidR="00720D84" w:rsidRPr="00897785">
        <w:rPr>
          <w:rStyle w:val="FootnoteReference"/>
          <w:rFonts w:ascii="FS Albert" w:hAnsi="FS Albert"/>
          <w:i/>
          <w:color w:val="194062"/>
          <w:sz w:val="24"/>
          <w:szCs w:val="24"/>
        </w:rPr>
        <w:footnoteReference w:id="36"/>
      </w:r>
      <w:r w:rsidR="00720D84" w:rsidRPr="00897785">
        <w:rPr>
          <w:rFonts w:ascii="FS Albert" w:hAnsi="FS Albert"/>
          <w:color w:val="194062"/>
          <w:sz w:val="24"/>
          <w:szCs w:val="24"/>
        </w:rPr>
        <w:t xml:space="preserve">. The court has however, on very rare occasion, considered the “character and quality” of the evidence at trial in broader terms. In </w:t>
      </w:r>
      <w:r w:rsidR="00720D84" w:rsidRPr="00897785">
        <w:rPr>
          <w:rFonts w:ascii="FS Albert" w:hAnsi="FS Albert"/>
          <w:i/>
          <w:color w:val="194062"/>
          <w:sz w:val="24"/>
          <w:szCs w:val="24"/>
        </w:rPr>
        <w:t>Ballantyne v Mackinnon</w:t>
      </w:r>
      <w:r w:rsidR="002B5EDE" w:rsidRPr="00897785">
        <w:rPr>
          <w:rStyle w:val="FootnoteReference"/>
          <w:rFonts w:ascii="FS Albert" w:hAnsi="FS Albert"/>
          <w:i/>
          <w:color w:val="194062"/>
          <w:sz w:val="24"/>
          <w:szCs w:val="24"/>
        </w:rPr>
        <w:footnoteReference w:id="37"/>
      </w:r>
      <w:r w:rsidR="00720D84" w:rsidRPr="00223DFA">
        <w:rPr>
          <w:rFonts w:ascii="FS Albert" w:hAnsi="FS Albert"/>
          <w:color w:val="194062"/>
          <w:sz w:val="24"/>
          <w:szCs w:val="24"/>
        </w:rPr>
        <w:t xml:space="preserve">, for example, a case that echoes </w:t>
      </w:r>
      <w:r w:rsidR="00720D84" w:rsidRPr="00223DFA">
        <w:rPr>
          <w:rFonts w:ascii="FS Albert" w:hAnsi="FS Albert"/>
          <w:i/>
          <w:color w:val="194062"/>
          <w:sz w:val="24"/>
          <w:szCs w:val="24"/>
        </w:rPr>
        <w:t>Jenkins</w:t>
      </w:r>
      <w:r w:rsidR="00720D84" w:rsidRPr="00223DFA">
        <w:rPr>
          <w:rFonts w:ascii="FS Albert" w:hAnsi="FS Albert"/>
          <w:color w:val="194062"/>
          <w:sz w:val="24"/>
          <w:szCs w:val="24"/>
        </w:rPr>
        <w:t xml:space="preserve">, the court held that it was not open to </w:t>
      </w:r>
      <w:r w:rsidR="002B5EDE" w:rsidRPr="00223DFA">
        <w:rPr>
          <w:rFonts w:ascii="FS Albert" w:hAnsi="FS Albert"/>
          <w:color w:val="194062"/>
          <w:sz w:val="24"/>
          <w:szCs w:val="24"/>
        </w:rPr>
        <w:t>the sheriff to accept the identification evidence from the main Crown witnesses, which was of manifestly poor quality.</w:t>
      </w:r>
      <w:r w:rsidR="00FD6770" w:rsidRPr="00223DFA">
        <w:rPr>
          <w:rFonts w:ascii="FS Albert" w:hAnsi="FS Albert"/>
          <w:color w:val="194062"/>
          <w:sz w:val="24"/>
          <w:szCs w:val="24"/>
        </w:rPr>
        <w:t xml:space="preserve"> The Commission framed its own referral in the case of Carol Kirk</w:t>
      </w:r>
      <w:r w:rsidR="00FD6770" w:rsidRPr="00897785">
        <w:rPr>
          <w:rStyle w:val="FootnoteReference"/>
          <w:rFonts w:ascii="FS Albert" w:hAnsi="FS Albert"/>
          <w:color w:val="194062"/>
          <w:sz w:val="24"/>
          <w:szCs w:val="24"/>
        </w:rPr>
        <w:footnoteReference w:id="38"/>
      </w:r>
      <w:r w:rsidR="00FD6770" w:rsidRPr="00897785">
        <w:rPr>
          <w:rFonts w:ascii="FS Albert" w:hAnsi="FS Albert"/>
          <w:color w:val="194062"/>
          <w:sz w:val="24"/>
          <w:szCs w:val="24"/>
        </w:rPr>
        <w:t xml:space="preserve"> </w:t>
      </w:r>
      <w:r w:rsidR="00F92345" w:rsidRPr="00897785">
        <w:rPr>
          <w:rFonts w:ascii="FS Albert" w:hAnsi="FS Albert"/>
          <w:color w:val="194062"/>
          <w:sz w:val="24"/>
          <w:szCs w:val="24"/>
        </w:rPr>
        <w:t>in a similar fashion. That appeal was unsuccessful for procedural reasons. The court subsequently allowed the appeal</w:t>
      </w:r>
      <w:r w:rsidR="00F92345" w:rsidRPr="00897785">
        <w:rPr>
          <w:rStyle w:val="FootnoteReference"/>
          <w:rFonts w:ascii="FS Albert" w:hAnsi="FS Albert"/>
          <w:color w:val="194062"/>
          <w:sz w:val="24"/>
          <w:szCs w:val="24"/>
        </w:rPr>
        <w:footnoteReference w:id="39"/>
      </w:r>
      <w:r w:rsidR="00F92345" w:rsidRPr="00897785">
        <w:rPr>
          <w:rFonts w:ascii="FS Albert" w:hAnsi="FS Albert"/>
          <w:color w:val="194062"/>
          <w:sz w:val="24"/>
          <w:szCs w:val="24"/>
        </w:rPr>
        <w:t xml:space="preserve"> that arose from the Commission’s second reference.</w:t>
      </w:r>
    </w:p>
    <w:p w:rsidR="008153CB" w:rsidRPr="00897785" w:rsidRDefault="00A11016" w:rsidP="00D70D40">
      <w:pPr>
        <w:spacing w:after="120" w:line="240" w:lineRule="auto"/>
        <w:jc w:val="both"/>
        <w:rPr>
          <w:rFonts w:ascii="FS Albert" w:hAnsi="FS Albert"/>
          <w:b/>
          <w:color w:val="194062"/>
          <w:sz w:val="24"/>
          <w:szCs w:val="24"/>
        </w:rPr>
      </w:pPr>
      <w:r w:rsidRPr="00897785">
        <w:rPr>
          <w:rFonts w:ascii="FS Albert" w:hAnsi="FS Albert"/>
          <w:b/>
          <w:color w:val="194062"/>
          <w:sz w:val="24"/>
          <w:szCs w:val="24"/>
        </w:rPr>
        <w:t xml:space="preserve">Date of Approval: </w:t>
      </w:r>
      <w:r w:rsidR="00B52A56">
        <w:rPr>
          <w:rFonts w:ascii="FS Albert" w:hAnsi="FS Albert"/>
          <w:color w:val="194062"/>
          <w:sz w:val="24"/>
          <w:szCs w:val="24"/>
        </w:rPr>
        <w:t>December 2020</w:t>
      </w:r>
    </w:p>
    <w:p w:rsidR="00DC547E" w:rsidRPr="002F3B8E" w:rsidRDefault="00A11016" w:rsidP="002F3B8E">
      <w:pPr>
        <w:spacing w:after="120" w:line="240" w:lineRule="auto"/>
        <w:jc w:val="both"/>
        <w:rPr>
          <w:rFonts w:ascii="FS Albert" w:hAnsi="FS Albert"/>
          <w:b/>
          <w:color w:val="194062"/>
          <w:sz w:val="24"/>
          <w:szCs w:val="24"/>
        </w:rPr>
      </w:pPr>
      <w:r w:rsidRPr="00897785">
        <w:rPr>
          <w:rFonts w:ascii="FS Albert" w:hAnsi="FS Albert"/>
          <w:b/>
          <w:color w:val="194062"/>
          <w:sz w:val="24"/>
          <w:szCs w:val="24"/>
        </w:rPr>
        <w:t xml:space="preserve">Date of Review: </w:t>
      </w:r>
      <w:r w:rsidR="00B52A56">
        <w:rPr>
          <w:rFonts w:ascii="FS Albert" w:hAnsi="FS Albert"/>
          <w:color w:val="194062"/>
          <w:sz w:val="24"/>
          <w:szCs w:val="24"/>
        </w:rPr>
        <w:t>December 2021</w:t>
      </w:r>
    </w:p>
    <w:p w:rsidR="004D6CBE" w:rsidRDefault="004D6CBE" w:rsidP="000916E7">
      <w:pPr>
        <w:rPr>
          <w:rFonts w:ascii="FS Albert" w:hAnsi="FS Albert"/>
          <w:color w:val="194062"/>
          <w:sz w:val="24"/>
          <w:szCs w:val="24"/>
        </w:rPr>
      </w:pPr>
    </w:p>
    <w:p w:rsidR="003F1C25" w:rsidRPr="00897785" w:rsidRDefault="003F1C25" w:rsidP="000916E7">
      <w:pPr>
        <w:rPr>
          <w:rFonts w:ascii="FS Albert" w:hAnsi="FS Albert"/>
          <w:color w:val="194062"/>
          <w:sz w:val="24"/>
          <w:szCs w:val="24"/>
        </w:rPr>
      </w:pPr>
    </w:p>
    <w:sectPr w:rsidR="003F1C25" w:rsidRPr="00897785" w:rsidSect="00125005">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25D" w:rsidRDefault="0037325D" w:rsidP="00F76565">
      <w:pPr>
        <w:spacing w:after="0" w:line="240" w:lineRule="auto"/>
      </w:pPr>
      <w:r>
        <w:separator/>
      </w:r>
    </w:p>
  </w:endnote>
  <w:endnote w:type="continuationSeparator" w:id="0">
    <w:p w:rsidR="0037325D" w:rsidRDefault="0037325D" w:rsidP="00F76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Albert">
    <w:panose1 w:val="02000000040000020004"/>
    <w:charset w:val="00"/>
    <w:family w:val="auto"/>
    <w:pitch w:val="variable"/>
    <w:sig w:usb0="A000006F" w:usb1="5000204A" w:usb2="00000000" w:usb3="00000000" w:csb0="00000093" w:csb1="00000000"/>
  </w:font>
  <w:font w:name="FS Albert Light">
    <w:panose1 w:val="02000000040000020004"/>
    <w:charset w:val="00"/>
    <w:family w:val="auto"/>
    <w:pitch w:val="variable"/>
    <w:sig w:usb0="A000006F" w:usb1="5000204A" w:usb2="00000000" w:usb3="00000000" w:csb0="00000093" w:csb1="00000000"/>
  </w:font>
  <w:font w:name="Sabon-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84933"/>
      <w:docPartObj>
        <w:docPartGallery w:val="Page Numbers (Bottom of Page)"/>
        <w:docPartUnique/>
      </w:docPartObj>
    </w:sdtPr>
    <w:sdtEndPr>
      <w:rPr>
        <w:noProof/>
      </w:rPr>
    </w:sdtEndPr>
    <w:sdtContent>
      <w:p w:rsidR="00F60C7C" w:rsidRDefault="00F60C7C">
        <w:pPr>
          <w:pStyle w:val="Footer"/>
          <w:jc w:val="center"/>
        </w:pPr>
        <w:r>
          <w:fldChar w:fldCharType="begin"/>
        </w:r>
        <w:r>
          <w:instrText xml:space="preserve"> PAGE   \* MERGEFORMAT </w:instrText>
        </w:r>
        <w:r>
          <w:fldChar w:fldCharType="separate"/>
        </w:r>
        <w:r w:rsidR="000C223D">
          <w:rPr>
            <w:noProof/>
          </w:rPr>
          <w:t>1</w:t>
        </w:r>
        <w:r>
          <w:rPr>
            <w:noProof/>
          </w:rPr>
          <w:fldChar w:fldCharType="end"/>
        </w:r>
      </w:p>
    </w:sdtContent>
  </w:sdt>
  <w:p w:rsidR="00F60C7C" w:rsidRDefault="00F60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25D" w:rsidRDefault="0037325D" w:rsidP="00F76565">
      <w:pPr>
        <w:spacing w:after="0" w:line="240" w:lineRule="auto"/>
      </w:pPr>
      <w:r>
        <w:separator/>
      </w:r>
    </w:p>
  </w:footnote>
  <w:footnote w:type="continuationSeparator" w:id="0">
    <w:p w:rsidR="0037325D" w:rsidRDefault="0037325D" w:rsidP="00F76565">
      <w:pPr>
        <w:spacing w:after="0" w:line="240" w:lineRule="auto"/>
      </w:pPr>
      <w:r>
        <w:continuationSeparator/>
      </w:r>
    </w:p>
  </w:footnote>
  <w:footnote w:id="1">
    <w:p w:rsidR="001D364A" w:rsidRPr="00002051" w:rsidRDefault="001D364A" w:rsidP="001D364A">
      <w:pPr>
        <w:pStyle w:val="FootnoteText"/>
        <w:rPr>
          <w:color w:val="D60D52"/>
        </w:rPr>
      </w:pPr>
      <w:r w:rsidRPr="00002051">
        <w:rPr>
          <w:rStyle w:val="FootnoteReference"/>
          <w:color w:val="D60D52"/>
        </w:rPr>
        <w:footnoteRef/>
      </w:r>
      <w:r w:rsidRPr="00002051">
        <w:rPr>
          <w:color w:val="D60D52"/>
        </w:rPr>
        <w:t xml:space="preserve"> </w:t>
      </w:r>
      <w:hyperlink r:id="rId1" w:history="1">
        <w:r w:rsidRPr="00002051">
          <w:rPr>
            <w:rStyle w:val="Hyperlink"/>
            <w:color w:val="D60D52"/>
          </w:rPr>
          <w:t>http://news.bbc.co.uk/1/hi/scotland/south_of_scotland/8205528.stm</w:t>
        </w:r>
      </w:hyperlink>
      <w:r w:rsidRPr="00002051">
        <w:rPr>
          <w:color w:val="D60D52"/>
        </w:rPr>
        <w:t xml:space="preserve"> </w:t>
      </w:r>
    </w:p>
  </w:footnote>
  <w:footnote w:id="2">
    <w:p w:rsidR="008C7601" w:rsidRPr="00002051" w:rsidRDefault="008C7601">
      <w:pPr>
        <w:pStyle w:val="FootnoteText"/>
        <w:rPr>
          <w:color w:val="D60D52"/>
        </w:rPr>
      </w:pPr>
      <w:r w:rsidRPr="00002051">
        <w:rPr>
          <w:rStyle w:val="FootnoteReference"/>
          <w:color w:val="D60D52"/>
        </w:rPr>
        <w:footnoteRef/>
      </w:r>
      <w:r w:rsidRPr="00002051">
        <w:rPr>
          <w:color w:val="D60D52"/>
        </w:rPr>
        <w:t xml:space="preserve"> 2011 SCL 8</w:t>
      </w:r>
    </w:p>
  </w:footnote>
  <w:footnote w:id="3">
    <w:p w:rsidR="001D364A" w:rsidRPr="00002051" w:rsidRDefault="001D364A" w:rsidP="001D364A">
      <w:pPr>
        <w:pStyle w:val="FootnoteText"/>
        <w:rPr>
          <w:rFonts w:ascii="FS Albert" w:hAnsi="FS Albert"/>
          <w:color w:val="D60D52"/>
        </w:rPr>
      </w:pPr>
      <w:r w:rsidRPr="00002051">
        <w:rPr>
          <w:rStyle w:val="FootnoteReference"/>
          <w:rFonts w:ascii="FS Albert" w:hAnsi="FS Albert"/>
          <w:color w:val="D60D52"/>
        </w:rPr>
        <w:footnoteRef/>
      </w:r>
      <w:r w:rsidRPr="00002051">
        <w:rPr>
          <w:rFonts w:ascii="FS Albert" w:hAnsi="FS Albert"/>
          <w:color w:val="D60D52"/>
        </w:rPr>
        <w:t xml:space="preserve"> </w:t>
      </w:r>
      <w:hyperlink r:id="rId2" w:history="1">
        <w:r w:rsidRPr="00002051">
          <w:rPr>
            <w:rStyle w:val="Hyperlink"/>
            <w:rFonts w:ascii="FS Albert" w:hAnsi="FS Albert"/>
            <w:color w:val="D60D52"/>
          </w:rPr>
          <w:t>http://news.bbc.co.uk/1/hi/scotland/tayside_and_central/7619299.stm</w:t>
        </w:r>
      </w:hyperlink>
      <w:r w:rsidRPr="00002051">
        <w:rPr>
          <w:rFonts w:ascii="FS Albert" w:hAnsi="FS Albert"/>
          <w:color w:val="D60D52"/>
        </w:rPr>
        <w:t xml:space="preserve"> </w:t>
      </w:r>
    </w:p>
  </w:footnote>
  <w:footnote w:id="4">
    <w:p w:rsidR="004C4259" w:rsidRPr="00002051" w:rsidRDefault="004C4259">
      <w:pPr>
        <w:pStyle w:val="FootnoteText"/>
        <w:rPr>
          <w:rFonts w:ascii="FS Albert" w:hAnsi="FS Albert"/>
          <w:color w:val="D60D52"/>
        </w:rPr>
      </w:pPr>
      <w:r w:rsidRPr="00002051">
        <w:rPr>
          <w:rStyle w:val="FootnoteReference"/>
          <w:rFonts w:ascii="FS Albert" w:hAnsi="FS Albert"/>
          <w:color w:val="D60D52"/>
        </w:rPr>
        <w:footnoteRef/>
      </w:r>
      <w:r w:rsidRPr="00002051">
        <w:rPr>
          <w:rFonts w:ascii="FS Albert" w:hAnsi="FS Albert"/>
          <w:color w:val="D60D52"/>
        </w:rPr>
        <w:t xml:space="preserve"> </w:t>
      </w:r>
      <w:proofErr w:type="gramStart"/>
      <w:r w:rsidRPr="00002051">
        <w:rPr>
          <w:rFonts w:ascii="FS Albert" w:hAnsi="FS Albert"/>
          <w:color w:val="D60D52"/>
        </w:rPr>
        <w:t>Section 2(1)</w:t>
      </w:r>
      <w:r w:rsidR="00976DB5" w:rsidRPr="00002051">
        <w:rPr>
          <w:rFonts w:ascii="FS Albert" w:hAnsi="FS Albert"/>
          <w:color w:val="D60D52"/>
        </w:rPr>
        <w:t>.</w:t>
      </w:r>
      <w:proofErr w:type="gramEnd"/>
    </w:p>
  </w:footnote>
  <w:footnote w:id="5">
    <w:p w:rsidR="00976DB5" w:rsidRPr="00002051" w:rsidRDefault="00976DB5">
      <w:pPr>
        <w:pStyle w:val="FootnoteText"/>
        <w:rPr>
          <w:rFonts w:ascii="FS Albert" w:hAnsi="FS Albert"/>
          <w:color w:val="D60D52"/>
        </w:rPr>
      </w:pPr>
      <w:r w:rsidRPr="00002051">
        <w:rPr>
          <w:rStyle w:val="FootnoteReference"/>
          <w:rFonts w:ascii="FS Albert" w:hAnsi="FS Albert"/>
          <w:color w:val="D60D52"/>
        </w:rPr>
        <w:footnoteRef/>
      </w:r>
      <w:r w:rsidRPr="00002051">
        <w:rPr>
          <w:rFonts w:ascii="FS Albert" w:hAnsi="FS Albert"/>
          <w:color w:val="D60D52"/>
        </w:rPr>
        <w:t xml:space="preserve"> </w:t>
      </w:r>
      <w:r w:rsidRPr="00002051">
        <w:rPr>
          <w:rFonts w:ascii="FS Albert" w:hAnsi="FS Albert" w:cs="Sabon-Roman"/>
          <w:color w:val="D60D52"/>
        </w:rPr>
        <w:t xml:space="preserve">In </w:t>
      </w:r>
      <w:r w:rsidRPr="00002051">
        <w:rPr>
          <w:rFonts w:ascii="FS Albert" w:hAnsi="FS Albert" w:cs="Sabon-Roman"/>
          <w:i/>
          <w:color w:val="D60D52"/>
        </w:rPr>
        <w:t>Webb v HM Advocate</w:t>
      </w:r>
      <w:r w:rsidRPr="00002051">
        <w:rPr>
          <w:rFonts w:ascii="FS Albert" w:hAnsi="FS Albert" w:cs="Sabon-Roman"/>
          <w:color w:val="D60D52"/>
        </w:rPr>
        <w:t xml:space="preserve"> </w:t>
      </w:r>
      <w:r w:rsidRPr="00002051">
        <w:rPr>
          <w:rFonts w:ascii="FS Albert" w:hAnsi="FS Albert"/>
          <w:color w:val="D60D52"/>
        </w:rPr>
        <w:t xml:space="preserve">1927 JC 92 </w:t>
      </w:r>
      <w:r w:rsidRPr="00002051">
        <w:rPr>
          <w:rFonts w:ascii="FS Albert" w:hAnsi="FS Albert" w:cs="Sabon-Roman"/>
          <w:color w:val="D60D52"/>
        </w:rPr>
        <w:t>it was held that an appeal should only be allowed if the verdict was “so flagrantly wrong that no reasonable jury discharging their duty honestly under proper direction would have given it”.</w:t>
      </w:r>
    </w:p>
  </w:footnote>
  <w:footnote w:id="6">
    <w:p w:rsidR="00976DB5" w:rsidRPr="00C722AE" w:rsidRDefault="00976DB5">
      <w:pPr>
        <w:pStyle w:val="FootnoteText"/>
        <w:rPr>
          <w:rFonts w:ascii="FS Albert" w:hAnsi="FS Albert"/>
        </w:rPr>
      </w:pPr>
      <w:r w:rsidRPr="00002051">
        <w:rPr>
          <w:rStyle w:val="FootnoteReference"/>
          <w:rFonts w:ascii="FS Albert" w:hAnsi="FS Albert"/>
          <w:color w:val="D60D52"/>
        </w:rPr>
        <w:footnoteRef/>
      </w:r>
      <w:r w:rsidRPr="00002051">
        <w:rPr>
          <w:rFonts w:ascii="FS Albert" w:hAnsi="FS Albert"/>
          <w:color w:val="D60D52"/>
        </w:rPr>
        <w:t xml:space="preserve"> </w:t>
      </w:r>
      <w:proofErr w:type="gramStart"/>
      <w:r w:rsidR="00855614" w:rsidRPr="00002051">
        <w:rPr>
          <w:rFonts w:ascii="FS Albert" w:hAnsi="FS Albert"/>
          <w:i/>
          <w:color w:val="D60D52"/>
        </w:rPr>
        <w:t xml:space="preserve">Criminal Appeals and Alleged Miscarriages of justice, </w:t>
      </w:r>
      <w:proofErr w:type="spellStart"/>
      <w:r w:rsidR="00855614" w:rsidRPr="00002051">
        <w:rPr>
          <w:rFonts w:ascii="FS Albert" w:hAnsi="FS Albert"/>
          <w:color w:val="D60D52"/>
        </w:rPr>
        <w:t>Cmnd</w:t>
      </w:r>
      <w:proofErr w:type="spellEnd"/>
      <w:r w:rsidR="00855614" w:rsidRPr="00002051">
        <w:rPr>
          <w:rFonts w:ascii="FS Albert" w:hAnsi="FS Albert"/>
          <w:color w:val="D60D52"/>
        </w:rPr>
        <w:t xml:space="preserve"> 3245</w:t>
      </w:r>
      <w:r w:rsidRPr="00002051">
        <w:rPr>
          <w:rFonts w:ascii="FS Albert" w:hAnsi="FS Albert"/>
          <w:color w:val="D60D52"/>
        </w:rPr>
        <w:t>, para 2.71.</w:t>
      </w:r>
      <w:proofErr w:type="gramEnd"/>
    </w:p>
  </w:footnote>
  <w:footnote w:id="7">
    <w:p w:rsidR="00C722AE" w:rsidRPr="00002051" w:rsidRDefault="00C722AE">
      <w:pPr>
        <w:pStyle w:val="FootnoteText"/>
        <w:rPr>
          <w:rFonts w:ascii="FS Albert" w:hAnsi="FS Albert"/>
          <w:color w:val="D60D52"/>
        </w:rPr>
      </w:pPr>
      <w:r w:rsidRPr="00002051">
        <w:rPr>
          <w:rStyle w:val="FootnoteReference"/>
          <w:rFonts w:ascii="FS Albert" w:hAnsi="FS Albert"/>
          <w:color w:val="D60D52"/>
        </w:rPr>
        <w:footnoteRef/>
      </w:r>
      <w:r w:rsidRPr="00002051">
        <w:rPr>
          <w:rFonts w:ascii="FS Albert" w:hAnsi="FS Albert"/>
          <w:color w:val="D60D52"/>
        </w:rPr>
        <w:t xml:space="preserve"> </w:t>
      </w:r>
      <w:r w:rsidRPr="00002051">
        <w:rPr>
          <w:rFonts w:ascii="FS Albert" w:eastAsia="Times New Roman" w:hAnsi="FS Albert" w:cs="Times New Roman"/>
          <w:color w:val="D60D52"/>
          <w:lang w:eastAsia="en-GB"/>
        </w:rPr>
        <w:t>1999 SCCR 330</w:t>
      </w:r>
    </w:p>
  </w:footnote>
  <w:footnote w:id="8">
    <w:p w:rsidR="00C722AE" w:rsidRPr="00002051" w:rsidRDefault="00C722AE">
      <w:pPr>
        <w:pStyle w:val="FootnoteText"/>
        <w:rPr>
          <w:color w:val="D60D52"/>
        </w:rPr>
      </w:pPr>
      <w:r w:rsidRPr="00002051">
        <w:rPr>
          <w:rStyle w:val="FootnoteReference"/>
          <w:rFonts w:ascii="FS Albert" w:hAnsi="FS Albert"/>
          <w:color w:val="D60D52"/>
        </w:rPr>
        <w:footnoteRef/>
      </w:r>
      <w:r w:rsidRPr="00002051">
        <w:rPr>
          <w:rFonts w:ascii="FS Albert" w:hAnsi="FS Albert"/>
          <w:color w:val="D60D52"/>
        </w:rPr>
        <w:t xml:space="preserve">  2002 SCCR 341</w:t>
      </w:r>
    </w:p>
  </w:footnote>
  <w:footnote w:id="9">
    <w:p w:rsidR="00361AF8" w:rsidRPr="00002051" w:rsidRDefault="00361AF8">
      <w:pPr>
        <w:pStyle w:val="FootnoteText"/>
        <w:rPr>
          <w:color w:val="D60D52"/>
        </w:rPr>
      </w:pPr>
      <w:r w:rsidRPr="00002051">
        <w:rPr>
          <w:rStyle w:val="FootnoteReference"/>
          <w:color w:val="D60D52"/>
        </w:rPr>
        <w:footnoteRef/>
      </w:r>
      <w:r w:rsidRPr="00002051">
        <w:rPr>
          <w:color w:val="D60D52"/>
        </w:rPr>
        <w:t xml:space="preserve"> </w:t>
      </w:r>
      <w:r w:rsidRPr="00002051">
        <w:rPr>
          <w:i/>
          <w:color w:val="D60D52"/>
        </w:rPr>
        <w:t>King</w:t>
      </w:r>
      <w:r w:rsidRPr="00002051">
        <w:rPr>
          <w:color w:val="D60D52"/>
        </w:rPr>
        <w:t xml:space="preserve"> at page 333</w:t>
      </w:r>
    </w:p>
  </w:footnote>
  <w:footnote w:id="10">
    <w:p w:rsidR="00361AF8" w:rsidRPr="00002051" w:rsidRDefault="00361AF8">
      <w:pPr>
        <w:pStyle w:val="FootnoteText"/>
        <w:rPr>
          <w:color w:val="D60D52"/>
        </w:rPr>
      </w:pPr>
      <w:r w:rsidRPr="00002051">
        <w:rPr>
          <w:rStyle w:val="FootnoteReference"/>
          <w:color w:val="D60D52"/>
        </w:rPr>
        <w:footnoteRef/>
      </w:r>
      <w:r w:rsidRPr="00002051">
        <w:rPr>
          <w:color w:val="D60D52"/>
        </w:rPr>
        <w:t xml:space="preserve"> </w:t>
      </w:r>
      <w:r w:rsidRPr="00002051">
        <w:rPr>
          <w:i/>
          <w:color w:val="D60D52"/>
        </w:rPr>
        <w:t>King</w:t>
      </w:r>
      <w:r w:rsidRPr="00002051">
        <w:rPr>
          <w:color w:val="D60D52"/>
        </w:rPr>
        <w:t xml:space="preserve"> at page 334</w:t>
      </w:r>
    </w:p>
  </w:footnote>
  <w:footnote w:id="11">
    <w:p w:rsidR="00361AF8" w:rsidRPr="00002051" w:rsidRDefault="00361AF8">
      <w:pPr>
        <w:pStyle w:val="FootnoteText"/>
        <w:rPr>
          <w:color w:val="D60D52"/>
        </w:rPr>
      </w:pPr>
      <w:r w:rsidRPr="00002051">
        <w:rPr>
          <w:rStyle w:val="FootnoteReference"/>
          <w:color w:val="D60D52"/>
        </w:rPr>
        <w:footnoteRef/>
      </w:r>
      <w:r w:rsidRPr="00002051">
        <w:rPr>
          <w:color w:val="D60D52"/>
        </w:rPr>
        <w:t xml:space="preserve"> </w:t>
      </w:r>
      <w:r w:rsidRPr="00002051">
        <w:rPr>
          <w:i/>
          <w:color w:val="D60D52"/>
        </w:rPr>
        <w:t>King</w:t>
      </w:r>
      <w:r w:rsidRPr="00002051">
        <w:rPr>
          <w:color w:val="D60D52"/>
        </w:rPr>
        <w:t xml:space="preserve"> at page 342</w:t>
      </w:r>
    </w:p>
  </w:footnote>
  <w:footnote w:id="12">
    <w:p w:rsidR="00361AF8" w:rsidRPr="00002051" w:rsidRDefault="00361AF8">
      <w:pPr>
        <w:pStyle w:val="FootnoteText"/>
        <w:rPr>
          <w:color w:val="D60D52"/>
        </w:rPr>
      </w:pPr>
      <w:r w:rsidRPr="00002051">
        <w:rPr>
          <w:rStyle w:val="FootnoteReference"/>
          <w:color w:val="D60D52"/>
        </w:rPr>
        <w:footnoteRef/>
      </w:r>
      <w:r w:rsidRPr="00002051">
        <w:rPr>
          <w:color w:val="D60D52"/>
        </w:rPr>
        <w:t xml:space="preserve"> </w:t>
      </w:r>
      <w:proofErr w:type="spellStart"/>
      <w:r w:rsidR="003E146A" w:rsidRPr="00002051">
        <w:rPr>
          <w:i/>
          <w:color w:val="D60D52"/>
        </w:rPr>
        <w:t>E</w:t>
      </w:r>
      <w:r w:rsidRPr="00002051">
        <w:rPr>
          <w:i/>
          <w:color w:val="D60D52"/>
        </w:rPr>
        <w:t xml:space="preserve"> </w:t>
      </w:r>
      <w:r w:rsidRPr="00002051">
        <w:rPr>
          <w:color w:val="D60D52"/>
        </w:rPr>
        <w:t>at</w:t>
      </w:r>
      <w:proofErr w:type="spellEnd"/>
      <w:r w:rsidRPr="00002051">
        <w:rPr>
          <w:color w:val="D60D52"/>
        </w:rPr>
        <w:t xml:space="preserve"> page 351</w:t>
      </w:r>
    </w:p>
  </w:footnote>
  <w:footnote w:id="13">
    <w:p w:rsidR="00361AF8" w:rsidRPr="00764221" w:rsidRDefault="00361AF8">
      <w:pPr>
        <w:pStyle w:val="FootnoteText"/>
        <w:rPr>
          <w:rFonts w:ascii="FS Albert" w:hAnsi="FS Albert"/>
        </w:rPr>
      </w:pPr>
      <w:r w:rsidRPr="00002051">
        <w:rPr>
          <w:rStyle w:val="FootnoteReference"/>
          <w:color w:val="D60D52"/>
        </w:rPr>
        <w:footnoteRef/>
      </w:r>
      <w:r w:rsidRPr="00002051">
        <w:rPr>
          <w:color w:val="D60D52"/>
        </w:rPr>
        <w:t xml:space="preserve"> </w:t>
      </w:r>
      <w:r w:rsidRPr="00002051">
        <w:rPr>
          <w:rFonts w:ascii="FS Albert" w:hAnsi="FS Albert"/>
          <w:i/>
          <w:color w:val="D60D52"/>
        </w:rPr>
        <w:t>Jenkins v HMA</w:t>
      </w:r>
      <w:r w:rsidRPr="00002051">
        <w:rPr>
          <w:rFonts w:ascii="FS Albert" w:hAnsi="FS Albert"/>
          <w:color w:val="D60D52"/>
        </w:rPr>
        <w:t xml:space="preserve"> 2011 SCCR 575 at paragraph 42</w:t>
      </w:r>
    </w:p>
  </w:footnote>
  <w:footnote w:id="14">
    <w:p w:rsidR="00361AF8" w:rsidRPr="00B52A56" w:rsidRDefault="00361AF8">
      <w:pPr>
        <w:pStyle w:val="FootnoteText"/>
        <w:rPr>
          <w:color w:val="D60D52"/>
        </w:rPr>
      </w:pPr>
      <w:r w:rsidRPr="00B52A56">
        <w:rPr>
          <w:rStyle w:val="FootnoteReference"/>
          <w:color w:val="D60D52"/>
        </w:rPr>
        <w:footnoteRef/>
      </w:r>
      <w:r w:rsidRPr="00B52A56">
        <w:rPr>
          <w:color w:val="D60D52"/>
        </w:rPr>
        <w:t xml:space="preserve"> </w:t>
      </w:r>
      <w:proofErr w:type="spellStart"/>
      <w:r w:rsidR="003E146A" w:rsidRPr="00B52A56">
        <w:rPr>
          <w:i/>
          <w:color w:val="D60D52"/>
        </w:rPr>
        <w:t>E</w:t>
      </w:r>
      <w:r w:rsidRPr="00B52A56">
        <w:rPr>
          <w:color w:val="D60D52"/>
        </w:rPr>
        <w:t xml:space="preserve"> at</w:t>
      </w:r>
      <w:proofErr w:type="spellEnd"/>
      <w:r w:rsidRPr="00B52A56">
        <w:rPr>
          <w:color w:val="D60D52"/>
        </w:rPr>
        <w:t xml:space="preserve"> page 352</w:t>
      </w:r>
    </w:p>
  </w:footnote>
  <w:footnote w:id="15">
    <w:p w:rsidR="004B6B92" w:rsidRPr="00B52A56" w:rsidRDefault="004B6B92">
      <w:pPr>
        <w:pStyle w:val="FootnoteText"/>
        <w:rPr>
          <w:color w:val="D60D52"/>
        </w:rPr>
      </w:pPr>
      <w:r w:rsidRPr="00B52A56">
        <w:rPr>
          <w:rStyle w:val="FootnoteReference"/>
          <w:color w:val="D60D52"/>
        </w:rPr>
        <w:footnoteRef/>
      </w:r>
      <w:r w:rsidRPr="00B52A56">
        <w:rPr>
          <w:color w:val="D60D52"/>
        </w:rPr>
        <w:t xml:space="preserve"> </w:t>
      </w:r>
      <w:r w:rsidRPr="00B52A56">
        <w:rPr>
          <w:i/>
          <w:color w:val="D60D52"/>
        </w:rPr>
        <w:t xml:space="preserve">R v </w:t>
      </w:r>
      <w:proofErr w:type="spellStart"/>
      <w:r w:rsidRPr="00B52A56">
        <w:rPr>
          <w:i/>
          <w:color w:val="D60D52"/>
        </w:rPr>
        <w:t>Biniaris</w:t>
      </w:r>
      <w:proofErr w:type="spellEnd"/>
      <w:r w:rsidRPr="00B52A56">
        <w:rPr>
          <w:i/>
          <w:color w:val="D60D52"/>
        </w:rPr>
        <w:t xml:space="preserve"> </w:t>
      </w:r>
      <w:r w:rsidRPr="00B52A56">
        <w:rPr>
          <w:color w:val="D60D52"/>
        </w:rPr>
        <w:t xml:space="preserve">[2000] 1 SCR 381, cited in the opinion of the court in </w:t>
      </w:r>
      <w:r w:rsidRPr="00B52A56">
        <w:rPr>
          <w:i/>
          <w:color w:val="D60D52"/>
        </w:rPr>
        <w:t xml:space="preserve">Gage v HMA </w:t>
      </w:r>
      <w:r w:rsidRPr="00B52A56">
        <w:rPr>
          <w:color w:val="D60D52"/>
        </w:rPr>
        <w:t>[2012] HCJAC 14</w:t>
      </w:r>
    </w:p>
  </w:footnote>
  <w:footnote w:id="16">
    <w:p w:rsidR="00917291" w:rsidRPr="00B52A56" w:rsidRDefault="00917291">
      <w:pPr>
        <w:pStyle w:val="FootnoteText"/>
        <w:rPr>
          <w:color w:val="D60D52"/>
        </w:rPr>
      </w:pPr>
      <w:r w:rsidRPr="00B52A56">
        <w:rPr>
          <w:rStyle w:val="FootnoteReference"/>
          <w:color w:val="D60D52"/>
        </w:rPr>
        <w:footnoteRef/>
      </w:r>
      <w:r w:rsidRPr="00B52A56">
        <w:rPr>
          <w:color w:val="D60D52"/>
        </w:rPr>
        <w:t xml:space="preserve"> </w:t>
      </w:r>
      <w:r w:rsidRPr="00B52A56">
        <w:rPr>
          <w:i/>
          <w:color w:val="D60D52"/>
        </w:rPr>
        <w:t>McDonald v HMA</w:t>
      </w:r>
      <w:r w:rsidRPr="00B52A56">
        <w:rPr>
          <w:color w:val="D60D52"/>
        </w:rPr>
        <w:t xml:space="preserve"> 2010 SCCR 619, per Lord </w:t>
      </w:r>
      <w:proofErr w:type="spellStart"/>
      <w:r w:rsidRPr="00B52A56">
        <w:rPr>
          <w:color w:val="D60D52"/>
        </w:rPr>
        <w:t>Carloway</w:t>
      </w:r>
      <w:proofErr w:type="spellEnd"/>
      <w:r w:rsidRPr="00B52A56">
        <w:rPr>
          <w:color w:val="D60D52"/>
        </w:rPr>
        <w:t xml:space="preserve">, as cited in </w:t>
      </w:r>
      <w:r w:rsidRPr="00B52A56">
        <w:rPr>
          <w:i/>
          <w:color w:val="D60D52"/>
        </w:rPr>
        <w:t xml:space="preserve">MacKinnon and Millar v HMA </w:t>
      </w:r>
      <w:r w:rsidRPr="00B52A56">
        <w:rPr>
          <w:color w:val="D60D52"/>
        </w:rPr>
        <w:t>[2015] HCJAC 6, paragraph 5</w:t>
      </w:r>
    </w:p>
  </w:footnote>
  <w:footnote w:id="17">
    <w:p w:rsidR="00917291" w:rsidRPr="00B52A56" w:rsidRDefault="00917291">
      <w:pPr>
        <w:pStyle w:val="FootnoteText"/>
        <w:rPr>
          <w:color w:val="D60D52"/>
        </w:rPr>
      </w:pPr>
      <w:r w:rsidRPr="00B52A56">
        <w:rPr>
          <w:rStyle w:val="FootnoteReference"/>
          <w:color w:val="D60D52"/>
        </w:rPr>
        <w:footnoteRef/>
      </w:r>
      <w:r w:rsidRPr="00B52A56">
        <w:rPr>
          <w:color w:val="D60D52"/>
        </w:rPr>
        <w:t xml:space="preserve"> </w:t>
      </w:r>
      <w:r w:rsidRPr="00B52A56">
        <w:rPr>
          <w:i/>
          <w:color w:val="D60D52"/>
        </w:rPr>
        <w:t>Wilson v HMA</w:t>
      </w:r>
      <w:r w:rsidRPr="00B52A56">
        <w:rPr>
          <w:color w:val="D60D52"/>
        </w:rPr>
        <w:t xml:space="preserve"> 2010 SCL 1041, paragraph 23, as cited in </w:t>
      </w:r>
      <w:r w:rsidRPr="00B52A56">
        <w:rPr>
          <w:i/>
          <w:color w:val="D60D52"/>
        </w:rPr>
        <w:t>MacKinnon and Millar v HMA</w:t>
      </w:r>
      <w:r w:rsidRPr="00B52A56">
        <w:rPr>
          <w:color w:val="D60D52"/>
        </w:rPr>
        <w:t>, paragraph 6</w:t>
      </w:r>
    </w:p>
  </w:footnote>
  <w:footnote w:id="18">
    <w:p w:rsidR="00436E0F" w:rsidRPr="00B52A56" w:rsidRDefault="00436E0F">
      <w:pPr>
        <w:pStyle w:val="FootnoteText"/>
        <w:rPr>
          <w:i/>
          <w:color w:val="D60D52"/>
        </w:rPr>
      </w:pPr>
      <w:r w:rsidRPr="00B52A56">
        <w:rPr>
          <w:rStyle w:val="FootnoteReference"/>
          <w:color w:val="D60D52"/>
        </w:rPr>
        <w:footnoteRef/>
      </w:r>
      <w:r w:rsidRPr="00B52A56">
        <w:rPr>
          <w:color w:val="D60D52"/>
        </w:rPr>
        <w:t xml:space="preserve"> </w:t>
      </w:r>
      <w:r w:rsidRPr="00B52A56">
        <w:rPr>
          <w:i/>
          <w:color w:val="D60D52"/>
        </w:rPr>
        <w:t>Harris v HMA</w:t>
      </w:r>
      <w:r w:rsidRPr="00B52A56">
        <w:rPr>
          <w:color w:val="D60D52"/>
        </w:rPr>
        <w:t xml:space="preserve"> 2012 SCCR 234 at paragraph 67</w:t>
      </w:r>
    </w:p>
  </w:footnote>
  <w:footnote w:id="19">
    <w:p w:rsidR="00507CF9" w:rsidRPr="00B52A56" w:rsidRDefault="00507CF9">
      <w:pPr>
        <w:pStyle w:val="FootnoteText"/>
        <w:rPr>
          <w:color w:val="D60D52"/>
        </w:rPr>
      </w:pPr>
      <w:r w:rsidRPr="00B52A56">
        <w:rPr>
          <w:rStyle w:val="FootnoteReference"/>
          <w:color w:val="D60D52"/>
        </w:rPr>
        <w:footnoteRef/>
      </w:r>
      <w:r w:rsidRPr="00B52A56">
        <w:rPr>
          <w:color w:val="D60D52"/>
        </w:rPr>
        <w:t xml:space="preserve"> At paragraph 10</w:t>
      </w:r>
    </w:p>
  </w:footnote>
  <w:footnote w:id="20">
    <w:p w:rsidR="00002E4F" w:rsidRPr="00B52A56" w:rsidRDefault="00002E4F">
      <w:pPr>
        <w:pStyle w:val="FootnoteText"/>
        <w:rPr>
          <w:color w:val="D60D52"/>
        </w:rPr>
      </w:pPr>
      <w:r w:rsidRPr="00B52A56">
        <w:rPr>
          <w:rStyle w:val="FootnoteReference"/>
          <w:color w:val="D60D52"/>
        </w:rPr>
        <w:footnoteRef/>
      </w:r>
      <w:r w:rsidRPr="00B52A56">
        <w:rPr>
          <w:color w:val="D60D52"/>
        </w:rPr>
        <w:t xml:space="preserve"> 2007 SCCR 49</w:t>
      </w:r>
    </w:p>
  </w:footnote>
  <w:footnote w:id="21">
    <w:p w:rsidR="00C71821" w:rsidRPr="00C71821" w:rsidRDefault="00C71821">
      <w:pPr>
        <w:pStyle w:val="FootnoteText"/>
        <w:rPr>
          <w:color w:val="D60D52"/>
        </w:rPr>
      </w:pPr>
      <w:r w:rsidRPr="00C71821">
        <w:rPr>
          <w:rStyle w:val="FootnoteReference"/>
          <w:color w:val="D60D52"/>
        </w:rPr>
        <w:footnoteRef/>
      </w:r>
      <w:r w:rsidRPr="00C71821">
        <w:rPr>
          <w:color w:val="D60D52"/>
        </w:rPr>
        <w:t xml:space="preserve"> See the commentary in SCCR at page 58</w:t>
      </w:r>
    </w:p>
  </w:footnote>
  <w:footnote w:id="22">
    <w:p w:rsidR="00540ABB" w:rsidRPr="00B52A56" w:rsidRDefault="00540ABB">
      <w:pPr>
        <w:pStyle w:val="FootnoteText"/>
        <w:rPr>
          <w:color w:val="D60D52"/>
        </w:rPr>
      </w:pPr>
      <w:r w:rsidRPr="00B52A56">
        <w:rPr>
          <w:rStyle w:val="FootnoteReference"/>
          <w:color w:val="D60D52"/>
        </w:rPr>
        <w:footnoteRef/>
      </w:r>
      <w:r w:rsidRPr="00B52A56">
        <w:rPr>
          <w:color w:val="D60D52"/>
        </w:rPr>
        <w:t xml:space="preserve"> 2015 SCL 965</w:t>
      </w:r>
    </w:p>
  </w:footnote>
  <w:footnote w:id="23">
    <w:p w:rsidR="00540ABB" w:rsidRPr="00540ABB" w:rsidRDefault="00540ABB">
      <w:pPr>
        <w:pStyle w:val="FootnoteText"/>
      </w:pPr>
      <w:r w:rsidRPr="00B52A56">
        <w:rPr>
          <w:rStyle w:val="FootnoteReference"/>
          <w:color w:val="D60D52"/>
        </w:rPr>
        <w:footnoteRef/>
      </w:r>
      <w:r w:rsidRPr="00B52A56">
        <w:rPr>
          <w:color w:val="D60D52"/>
        </w:rPr>
        <w:t xml:space="preserve"> </w:t>
      </w:r>
      <w:r w:rsidRPr="00B52A56">
        <w:rPr>
          <w:i/>
          <w:color w:val="D60D52"/>
        </w:rPr>
        <w:t xml:space="preserve">Contra </w:t>
      </w:r>
      <w:proofErr w:type="spellStart"/>
      <w:r w:rsidRPr="00B52A56">
        <w:rPr>
          <w:i/>
          <w:color w:val="D60D52"/>
        </w:rPr>
        <w:t>Ferrie</w:t>
      </w:r>
      <w:proofErr w:type="spellEnd"/>
      <w:r w:rsidRPr="00B52A56">
        <w:rPr>
          <w:i/>
          <w:color w:val="D60D52"/>
        </w:rPr>
        <w:t xml:space="preserve"> v HMA </w:t>
      </w:r>
      <w:r w:rsidRPr="00B52A56">
        <w:rPr>
          <w:color w:val="D60D52"/>
        </w:rPr>
        <w:t>2011 SCL 8</w:t>
      </w:r>
    </w:p>
  </w:footnote>
  <w:footnote w:id="24">
    <w:p w:rsidR="00F86897" w:rsidRPr="00B52A56" w:rsidRDefault="00F86897">
      <w:pPr>
        <w:pStyle w:val="FootnoteText"/>
        <w:rPr>
          <w:rFonts w:ascii="FS Albert" w:hAnsi="FS Albert"/>
          <w:color w:val="D60D52"/>
        </w:rPr>
      </w:pPr>
      <w:r w:rsidRPr="00B52A56">
        <w:rPr>
          <w:rStyle w:val="FootnoteReference"/>
          <w:rFonts w:ascii="FS Albert" w:hAnsi="FS Albert"/>
          <w:color w:val="D60D52"/>
        </w:rPr>
        <w:footnoteRef/>
      </w:r>
      <w:r w:rsidRPr="00B52A56">
        <w:rPr>
          <w:rFonts w:ascii="FS Albert" w:hAnsi="FS Albert"/>
          <w:color w:val="D60D52"/>
        </w:rPr>
        <w:t xml:space="preserve"> 2017 SCL 947</w:t>
      </w:r>
    </w:p>
  </w:footnote>
  <w:footnote w:id="25">
    <w:p w:rsidR="00CF7B9B" w:rsidRPr="00B52A56" w:rsidRDefault="00CF7B9B" w:rsidP="00CF7B9B">
      <w:pPr>
        <w:pStyle w:val="FootnoteText"/>
        <w:rPr>
          <w:rFonts w:ascii="FS Albert" w:hAnsi="FS Albert"/>
          <w:color w:val="D60D52"/>
        </w:rPr>
      </w:pPr>
      <w:r w:rsidRPr="00B52A56">
        <w:rPr>
          <w:rStyle w:val="FootnoteReference"/>
          <w:rFonts w:ascii="FS Albert" w:hAnsi="FS Albert"/>
          <w:color w:val="D60D52"/>
        </w:rPr>
        <w:footnoteRef/>
      </w:r>
      <w:r w:rsidRPr="00B52A56">
        <w:rPr>
          <w:rFonts w:ascii="FS Albert" w:hAnsi="FS Albert"/>
          <w:color w:val="D60D52"/>
        </w:rPr>
        <w:t xml:space="preserve"> 2004 SCCR 319</w:t>
      </w:r>
    </w:p>
  </w:footnote>
  <w:footnote w:id="26">
    <w:p w:rsidR="00CF7B9B" w:rsidRPr="00B52A56" w:rsidRDefault="00CF7B9B" w:rsidP="00CF7B9B">
      <w:pPr>
        <w:pStyle w:val="FootnoteText"/>
        <w:rPr>
          <w:color w:val="D60D52"/>
        </w:rPr>
      </w:pPr>
      <w:r w:rsidRPr="00B52A56">
        <w:rPr>
          <w:rStyle w:val="FootnoteReference"/>
          <w:rFonts w:ascii="FS Albert" w:hAnsi="FS Albert"/>
          <w:color w:val="D60D52"/>
        </w:rPr>
        <w:footnoteRef/>
      </w:r>
      <w:r w:rsidRPr="00B52A56">
        <w:rPr>
          <w:rFonts w:ascii="FS Albert" w:hAnsi="FS Albert"/>
          <w:color w:val="D60D52"/>
        </w:rPr>
        <w:t xml:space="preserve"> 2012 SCCR 735</w:t>
      </w:r>
    </w:p>
  </w:footnote>
  <w:footnote w:id="27">
    <w:p w:rsidR="00CF7B9B" w:rsidRPr="00B52A56" w:rsidRDefault="00CF7B9B">
      <w:pPr>
        <w:pStyle w:val="FootnoteText"/>
        <w:rPr>
          <w:rFonts w:ascii="FS Albert" w:hAnsi="FS Albert"/>
          <w:color w:val="D60D52"/>
        </w:rPr>
      </w:pPr>
      <w:r w:rsidRPr="00B52A56">
        <w:rPr>
          <w:rStyle w:val="FootnoteReference"/>
          <w:rFonts w:ascii="FS Albert" w:hAnsi="FS Albert"/>
          <w:color w:val="D60D52"/>
        </w:rPr>
        <w:footnoteRef/>
      </w:r>
      <w:r w:rsidRPr="00B52A56">
        <w:rPr>
          <w:rFonts w:ascii="FS Albert" w:hAnsi="FS Albert"/>
          <w:color w:val="D60D52"/>
        </w:rPr>
        <w:t xml:space="preserve"> 2010 SCCR 619</w:t>
      </w:r>
    </w:p>
  </w:footnote>
  <w:footnote w:id="28">
    <w:p w:rsidR="00CF7B9B" w:rsidRPr="00B52A56" w:rsidRDefault="00CF7B9B" w:rsidP="00CF7B9B">
      <w:pPr>
        <w:pStyle w:val="FootnoteText"/>
        <w:rPr>
          <w:rFonts w:ascii="FS Albert" w:hAnsi="FS Albert"/>
          <w:color w:val="D60D52"/>
        </w:rPr>
      </w:pPr>
      <w:r w:rsidRPr="00B52A56">
        <w:rPr>
          <w:rStyle w:val="FootnoteReference"/>
          <w:rFonts w:ascii="FS Albert" w:hAnsi="FS Albert"/>
          <w:color w:val="D60D52"/>
        </w:rPr>
        <w:footnoteRef/>
      </w:r>
      <w:r w:rsidRPr="00B52A56">
        <w:rPr>
          <w:rFonts w:ascii="FS Albert" w:hAnsi="FS Albert"/>
          <w:color w:val="D60D52"/>
        </w:rPr>
        <w:t xml:space="preserve"> 2010 SCCR 782</w:t>
      </w:r>
    </w:p>
  </w:footnote>
  <w:footnote w:id="29">
    <w:p w:rsidR="00CF7B9B" w:rsidRPr="00B52A56" w:rsidRDefault="00CF7B9B" w:rsidP="00CF7B9B">
      <w:pPr>
        <w:pStyle w:val="FootnoteText"/>
        <w:rPr>
          <w:rFonts w:ascii="FS Albert" w:hAnsi="FS Albert"/>
          <w:color w:val="D60D52"/>
        </w:rPr>
      </w:pPr>
      <w:r w:rsidRPr="00B52A56">
        <w:rPr>
          <w:rStyle w:val="FootnoteReference"/>
          <w:rFonts w:ascii="FS Albert" w:hAnsi="FS Albert"/>
          <w:color w:val="D60D52"/>
        </w:rPr>
        <w:footnoteRef/>
      </w:r>
      <w:r w:rsidRPr="00B52A56">
        <w:rPr>
          <w:rFonts w:ascii="FS Albert" w:hAnsi="FS Albert"/>
          <w:color w:val="D60D52"/>
        </w:rPr>
        <w:t xml:space="preserve"> 2012 SCCR 254</w:t>
      </w:r>
    </w:p>
  </w:footnote>
  <w:footnote w:id="30">
    <w:p w:rsidR="00CF7B9B" w:rsidRPr="00B52A56" w:rsidRDefault="00CF7B9B" w:rsidP="00CF7B9B">
      <w:pPr>
        <w:pStyle w:val="FootnoteText"/>
        <w:rPr>
          <w:rFonts w:ascii="FS Albert" w:hAnsi="FS Albert"/>
          <w:color w:val="D60D52"/>
        </w:rPr>
      </w:pPr>
      <w:r w:rsidRPr="00B52A56">
        <w:rPr>
          <w:rStyle w:val="FootnoteReference"/>
          <w:rFonts w:ascii="FS Albert" w:hAnsi="FS Albert"/>
          <w:color w:val="D60D52"/>
        </w:rPr>
        <w:footnoteRef/>
      </w:r>
      <w:r w:rsidRPr="00B52A56">
        <w:rPr>
          <w:rFonts w:ascii="FS Albert" w:hAnsi="FS Albert"/>
          <w:color w:val="D60D52"/>
        </w:rPr>
        <w:t xml:space="preserve"> 2012 SCCR 768</w:t>
      </w:r>
    </w:p>
  </w:footnote>
  <w:footnote w:id="31">
    <w:p w:rsidR="00CF7B9B" w:rsidRPr="00B52A56" w:rsidRDefault="00CF7B9B">
      <w:pPr>
        <w:pStyle w:val="FootnoteText"/>
        <w:rPr>
          <w:rFonts w:ascii="FS Albert" w:hAnsi="FS Albert"/>
          <w:color w:val="D60D52"/>
        </w:rPr>
      </w:pPr>
      <w:r w:rsidRPr="00B52A56">
        <w:rPr>
          <w:rStyle w:val="FootnoteReference"/>
          <w:color w:val="D60D52"/>
        </w:rPr>
        <w:footnoteRef/>
      </w:r>
      <w:r w:rsidRPr="00B52A56">
        <w:rPr>
          <w:color w:val="D60D52"/>
        </w:rPr>
        <w:t xml:space="preserve"> </w:t>
      </w:r>
      <w:r w:rsidRPr="00B52A56">
        <w:rPr>
          <w:rFonts w:ascii="FS Albert" w:hAnsi="FS Albert"/>
          <w:color w:val="D60D52"/>
        </w:rPr>
        <w:t xml:space="preserve">Prior to the introduction in 2010 of </w:t>
      </w:r>
      <w:proofErr w:type="gramStart"/>
      <w:r w:rsidRPr="00B52A56">
        <w:rPr>
          <w:rFonts w:ascii="FS Albert" w:hAnsi="FS Albert"/>
          <w:color w:val="D60D52"/>
        </w:rPr>
        <w:t>ss194D(</w:t>
      </w:r>
      <w:proofErr w:type="gramEnd"/>
      <w:r w:rsidRPr="00B52A56">
        <w:rPr>
          <w:rFonts w:ascii="FS Albert" w:hAnsi="FS Albert"/>
          <w:color w:val="D60D52"/>
        </w:rPr>
        <w:t xml:space="preserve">4A)-(4F) of the 1995 Act, successful applicants to the Commission were not restricted by the content of the Commission’s statement of reasons when drafting </w:t>
      </w:r>
      <w:r w:rsidR="008646BC" w:rsidRPr="00B52A56">
        <w:rPr>
          <w:rFonts w:ascii="FS Albert" w:hAnsi="FS Albert"/>
          <w:color w:val="D60D52"/>
        </w:rPr>
        <w:t xml:space="preserve">the notes of appeal in subsequent court proceedings. (On which, see </w:t>
      </w:r>
      <w:proofErr w:type="spellStart"/>
      <w:r w:rsidR="008646BC" w:rsidRPr="00B52A56">
        <w:rPr>
          <w:rFonts w:ascii="FS Albert" w:hAnsi="FS Albert"/>
          <w:i/>
          <w:color w:val="D60D52"/>
        </w:rPr>
        <w:t>Megrahi</w:t>
      </w:r>
      <w:proofErr w:type="spellEnd"/>
      <w:r w:rsidR="008646BC" w:rsidRPr="00B52A56">
        <w:rPr>
          <w:rFonts w:ascii="FS Albert" w:hAnsi="FS Albert"/>
          <w:i/>
          <w:color w:val="D60D52"/>
        </w:rPr>
        <w:t xml:space="preserve"> v HMA </w:t>
      </w:r>
      <w:r w:rsidR="008646BC" w:rsidRPr="00B52A56">
        <w:rPr>
          <w:rFonts w:ascii="FS Albert" w:hAnsi="FS Albert"/>
          <w:color w:val="D60D52"/>
        </w:rPr>
        <w:t>2008 SLT 1008.)</w:t>
      </w:r>
    </w:p>
  </w:footnote>
  <w:footnote w:id="32">
    <w:p w:rsidR="004E77F5" w:rsidRPr="00B52A56" w:rsidRDefault="004E77F5" w:rsidP="004E77F5">
      <w:pPr>
        <w:pStyle w:val="FootnoteText"/>
        <w:rPr>
          <w:rFonts w:ascii="FS Albert" w:hAnsi="FS Albert"/>
          <w:color w:val="D60D52"/>
        </w:rPr>
      </w:pPr>
      <w:r w:rsidRPr="00B52A56">
        <w:rPr>
          <w:rStyle w:val="FootnoteReference"/>
          <w:rFonts w:ascii="FS Albert" w:hAnsi="FS Albert"/>
          <w:color w:val="D60D52"/>
        </w:rPr>
        <w:footnoteRef/>
      </w:r>
      <w:r w:rsidRPr="00B52A56">
        <w:rPr>
          <w:rFonts w:ascii="FS Albert" w:hAnsi="FS Albert"/>
          <w:color w:val="D60D52"/>
        </w:rPr>
        <w:t xml:space="preserve"> 2011 SCCR 575</w:t>
      </w:r>
    </w:p>
  </w:footnote>
  <w:footnote w:id="33">
    <w:p w:rsidR="00B10003" w:rsidRDefault="00B10003">
      <w:pPr>
        <w:pStyle w:val="FootnoteText"/>
      </w:pPr>
      <w:r w:rsidRPr="00B52A56">
        <w:rPr>
          <w:rStyle w:val="FootnoteReference"/>
          <w:color w:val="D60D52"/>
        </w:rPr>
        <w:footnoteRef/>
      </w:r>
      <w:r w:rsidRPr="00B52A56">
        <w:rPr>
          <w:color w:val="D60D52"/>
        </w:rPr>
        <w:t xml:space="preserve"> An ID parade conducted using video images.</w:t>
      </w:r>
    </w:p>
  </w:footnote>
  <w:footnote w:id="34">
    <w:p w:rsidR="004E77F5" w:rsidRPr="00B52A56" w:rsidRDefault="004E77F5">
      <w:pPr>
        <w:pStyle w:val="FootnoteText"/>
        <w:rPr>
          <w:color w:val="D60D52"/>
        </w:rPr>
      </w:pPr>
      <w:r w:rsidRPr="00B52A56">
        <w:rPr>
          <w:rStyle w:val="FootnoteReference"/>
          <w:color w:val="D60D52"/>
        </w:rPr>
        <w:footnoteRef/>
      </w:r>
      <w:r w:rsidRPr="00B52A56">
        <w:rPr>
          <w:color w:val="D60D52"/>
        </w:rPr>
        <w:t xml:space="preserve"> 2013 SCCR 139</w:t>
      </w:r>
    </w:p>
  </w:footnote>
  <w:footnote w:id="35">
    <w:p w:rsidR="006E0B08" w:rsidRPr="00B52A56" w:rsidRDefault="006E0B08">
      <w:pPr>
        <w:pStyle w:val="FootnoteText"/>
        <w:rPr>
          <w:color w:val="D60D52"/>
        </w:rPr>
      </w:pPr>
      <w:r w:rsidRPr="00B52A56">
        <w:rPr>
          <w:rStyle w:val="FootnoteReference"/>
          <w:color w:val="D60D52"/>
        </w:rPr>
        <w:footnoteRef/>
      </w:r>
      <w:r w:rsidRPr="00B52A56">
        <w:rPr>
          <w:color w:val="D60D52"/>
        </w:rPr>
        <w:t xml:space="preserve"> 2016 SCL 690</w:t>
      </w:r>
    </w:p>
  </w:footnote>
  <w:footnote w:id="36">
    <w:p w:rsidR="00720D84" w:rsidRPr="00B52A56" w:rsidRDefault="00720D84">
      <w:pPr>
        <w:pStyle w:val="FootnoteText"/>
        <w:rPr>
          <w:color w:val="D60D52"/>
        </w:rPr>
      </w:pPr>
      <w:r w:rsidRPr="00B52A56">
        <w:rPr>
          <w:rStyle w:val="FootnoteReference"/>
          <w:color w:val="D60D52"/>
        </w:rPr>
        <w:footnoteRef/>
      </w:r>
      <w:r w:rsidRPr="00B52A56">
        <w:rPr>
          <w:color w:val="D60D52"/>
        </w:rPr>
        <w:t xml:space="preserve"> 1990 SLT 594</w:t>
      </w:r>
    </w:p>
  </w:footnote>
  <w:footnote w:id="37">
    <w:p w:rsidR="002B5EDE" w:rsidRDefault="002B5EDE">
      <w:pPr>
        <w:pStyle w:val="FootnoteText"/>
      </w:pPr>
      <w:r w:rsidRPr="00B52A56">
        <w:rPr>
          <w:rStyle w:val="FootnoteReference"/>
          <w:color w:val="D60D52"/>
        </w:rPr>
        <w:footnoteRef/>
      </w:r>
      <w:r w:rsidRPr="00B52A56">
        <w:rPr>
          <w:color w:val="D60D52"/>
        </w:rPr>
        <w:t xml:space="preserve"> 1983 SCCR 97</w:t>
      </w:r>
    </w:p>
  </w:footnote>
  <w:footnote w:id="38">
    <w:p w:rsidR="00FD6770" w:rsidRPr="00B52A56" w:rsidRDefault="00FD6770">
      <w:pPr>
        <w:pStyle w:val="FootnoteText"/>
        <w:rPr>
          <w:color w:val="D60D52"/>
        </w:rPr>
      </w:pPr>
      <w:r w:rsidRPr="00B52A56">
        <w:rPr>
          <w:rStyle w:val="FootnoteReference"/>
          <w:color w:val="D60D52"/>
        </w:rPr>
        <w:footnoteRef/>
      </w:r>
      <w:r w:rsidRPr="00B52A56">
        <w:rPr>
          <w:color w:val="D60D52"/>
        </w:rPr>
        <w:t xml:space="preserve"> </w:t>
      </w:r>
      <w:r w:rsidRPr="00B52A56">
        <w:rPr>
          <w:i/>
          <w:color w:val="D60D52"/>
        </w:rPr>
        <w:t xml:space="preserve">Kirk v PF Stirling </w:t>
      </w:r>
      <w:r w:rsidRPr="00B52A56">
        <w:rPr>
          <w:color w:val="D60D52"/>
        </w:rPr>
        <w:t>[2017] HCJAC 66</w:t>
      </w:r>
    </w:p>
  </w:footnote>
  <w:footnote w:id="39">
    <w:p w:rsidR="00F92345" w:rsidRDefault="00F92345">
      <w:pPr>
        <w:pStyle w:val="FootnoteText"/>
      </w:pPr>
      <w:r w:rsidRPr="00B52A56">
        <w:rPr>
          <w:rStyle w:val="FootnoteReference"/>
          <w:color w:val="D60D52"/>
        </w:rPr>
        <w:footnoteRef/>
      </w:r>
      <w:r w:rsidRPr="00B52A56">
        <w:rPr>
          <w:color w:val="D60D52"/>
        </w:rPr>
        <w:t xml:space="preserve"> Unreported, 15 May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C7C" w:rsidRDefault="008153CB" w:rsidP="00473757">
    <w:pPr>
      <w:pStyle w:val="Header"/>
      <w:jc w:val="right"/>
    </w:pPr>
    <w:r>
      <w:t xml:space="preserve">Version </w:t>
    </w:r>
    <w:r w:rsidR="00C71821">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CCE5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4560C3"/>
    <w:multiLevelType w:val="singleLevel"/>
    <w:tmpl w:val="4F0AAF2E"/>
    <w:lvl w:ilvl="0">
      <w:start w:val="1"/>
      <w:numFmt w:val="decimal"/>
      <w:pStyle w:val="BlockText"/>
      <w:lvlText w:val="%1."/>
      <w:lvlJc w:val="left"/>
      <w:pPr>
        <w:tabs>
          <w:tab w:val="num" w:pos="360"/>
        </w:tabs>
        <w:ind w:left="0" w:firstLine="0"/>
      </w:pPr>
    </w:lvl>
  </w:abstractNum>
  <w:abstractNum w:abstractNumId="2">
    <w:nsid w:val="113C6BA1"/>
    <w:multiLevelType w:val="hybridMultilevel"/>
    <w:tmpl w:val="882A3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077521"/>
    <w:multiLevelType w:val="hybridMultilevel"/>
    <w:tmpl w:val="A81E04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EA39F8"/>
    <w:multiLevelType w:val="hybridMultilevel"/>
    <w:tmpl w:val="4AFE6F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76202B9"/>
    <w:multiLevelType w:val="hybridMultilevel"/>
    <w:tmpl w:val="5FBE7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5227FC"/>
    <w:multiLevelType w:val="hybridMultilevel"/>
    <w:tmpl w:val="5D82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690424"/>
    <w:multiLevelType w:val="hybridMultilevel"/>
    <w:tmpl w:val="FA868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0862EF"/>
    <w:multiLevelType w:val="hybridMultilevel"/>
    <w:tmpl w:val="6B0E95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586C719F"/>
    <w:multiLevelType w:val="hybridMultilevel"/>
    <w:tmpl w:val="73DE6E60"/>
    <w:lvl w:ilvl="0" w:tplc="0809000F">
      <w:start w:val="1"/>
      <w:numFmt w:val="decimal"/>
      <w:lvlText w:val="%1."/>
      <w:lvlJc w:val="left"/>
      <w:pPr>
        <w:ind w:left="1434" w:hanging="360"/>
      </w:pPr>
      <w:rPr>
        <w:rFonts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nsid w:val="631D0A0C"/>
    <w:multiLevelType w:val="hybridMultilevel"/>
    <w:tmpl w:val="53FEC22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1">
    <w:nsid w:val="64684205"/>
    <w:multiLevelType w:val="hybridMultilevel"/>
    <w:tmpl w:val="B41642B4"/>
    <w:lvl w:ilvl="0" w:tplc="561CF5B8">
      <w:start w:val="1"/>
      <w:numFmt w:val="decimal"/>
      <w:pStyle w:val="AAABodyText"/>
      <w:lvlText w:val="%1."/>
      <w:lvlJc w:val="left"/>
      <w:pPr>
        <w:ind w:left="786" w:hanging="360"/>
      </w:pPr>
      <w:rPr>
        <w:rFonts w:cs="Times New Roman"/>
      </w:rPr>
    </w:lvl>
    <w:lvl w:ilvl="1" w:tplc="08090019" w:tentative="1">
      <w:start w:val="1"/>
      <w:numFmt w:val="lowerLetter"/>
      <w:lvlText w:val="%2."/>
      <w:lvlJc w:val="left"/>
      <w:pPr>
        <w:ind w:left="3444" w:hanging="360"/>
      </w:pPr>
      <w:rPr>
        <w:rFonts w:cs="Times New Roman"/>
      </w:rPr>
    </w:lvl>
    <w:lvl w:ilvl="2" w:tplc="0809001B" w:tentative="1">
      <w:start w:val="1"/>
      <w:numFmt w:val="lowerRoman"/>
      <w:lvlText w:val="%3."/>
      <w:lvlJc w:val="right"/>
      <w:pPr>
        <w:ind w:left="4164" w:hanging="180"/>
      </w:pPr>
      <w:rPr>
        <w:rFonts w:cs="Times New Roman"/>
      </w:rPr>
    </w:lvl>
    <w:lvl w:ilvl="3" w:tplc="0809000F" w:tentative="1">
      <w:start w:val="1"/>
      <w:numFmt w:val="decimal"/>
      <w:lvlText w:val="%4."/>
      <w:lvlJc w:val="left"/>
      <w:pPr>
        <w:ind w:left="4884" w:hanging="360"/>
      </w:pPr>
      <w:rPr>
        <w:rFonts w:cs="Times New Roman"/>
      </w:rPr>
    </w:lvl>
    <w:lvl w:ilvl="4" w:tplc="08090019" w:tentative="1">
      <w:start w:val="1"/>
      <w:numFmt w:val="lowerLetter"/>
      <w:lvlText w:val="%5."/>
      <w:lvlJc w:val="left"/>
      <w:pPr>
        <w:ind w:left="5604" w:hanging="360"/>
      </w:pPr>
      <w:rPr>
        <w:rFonts w:cs="Times New Roman"/>
      </w:rPr>
    </w:lvl>
    <w:lvl w:ilvl="5" w:tplc="0809001B" w:tentative="1">
      <w:start w:val="1"/>
      <w:numFmt w:val="lowerRoman"/>
      <w:lvlText w:val="%6."/>
      <w:lvlJc w:val="right"/>
      <w:pPr>
        <w:ind w:left="6324" w:hanging="180"/>
      </w:pPr>
      <w:rPr>
        <w:rFonts w:cs="Times New Roman"/>
      </w:rPr>
    </w:lvl>
    <w:lvl w:ilvl="6" w:tplc="0809000F" w:tentative="1">
      <w:start w:val="1"/>
      <w:numFmt w:val="decimal"/>
      <w:lvlText w:val="%7."/>
      <w:lvlJc w:val="left"/>
      <w:pPr>
        <w:ind w:left="7044" w:hanging="360"/>
      </w:pPr>
      <w:rPr>
        <w:rFonts w:cs="Times New Roman"/>
      </w:rPr>
    </w:lvl>
    <w:lvl w:ilvl="7" w:tplc="08090019" w:tentative="1">
      <w:start w:val="1"/>
      <w:numFmt w:val="lowerLetter"/>
      <w:lvlText w:val="%8."/>
      <w:lvlJc w:val="left"/>
      <w:pPr>
        <w:ind w:left="7764" w:hanging="360"/>
      </w:pPr>
      <w:rPr>
        <w:rFonts w:cs="Times New Roman"/>
      </w:rPr>
    </w:lvl>
    <w:lvl w:ilvl="8" w:tplc="0809001B" w:tentative="1">
      <w:start w:val="1"/>
      <w:numFmt w:val="lowerRoman"/>
      <w:lvlText w:val="%9."/>
      <w:lvlJc w:val="right"/>
      <w:pPr>
        <w:ind w:left="8484" w:hanging="180"/>
      </w:pPr>
      <w:rPr>
        <w:rFonts w:cs="Times New Roman"/>
      </w:rPr>
    </w:lvl>
  </w:abstractNum>
  <w:abstractNum w:abstractNumId="12">
    <w:nsid w:val="65361E47"/>
    <w:multiLevelType w:val="hybridMultilevel"/>
    <w:tmpl w:val="C94E7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66B63AE"/>
    <w:multiLevelType w:val="hybridMultilevel"/>
    <w:tmpl w:val="9230A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40069B5"/>
    <w:multiLevelType w:val="hybridMultilevel"/>
    <w:tmpl w:val="4328AB1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5">
    <w:nsid w:val="756162FC"/>
    <w:multiLevelType w:val="hybridMultilevel"/>
    <w:tmpl w:val="99000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7D75117"/>
    <w:multiLevelType w:val="hybridMultilevel"/>
    <w:tmpl w:val="A6466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F18144E"/>
    <w:multiLevelType w:val="hybridMultilevel"/>
    <w:tmpl w:val="3878B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
  </w:num>
  <w:num w:numId="4">
    <w:abstractNumId w:val="11"/>
  </w:num>
  <w:num w:numId="5">
    <w:abstractNumId w:val="14"/>
  </w:num>
  <w:num w:numId="6">
    <w:abstractNumId w:val="4"/>
  </w:num>
  <w:num w:numId="7">
    <w:abstractNumId w:val="10"/>
  </w:num>
  <w:num w:numId="8">
    <w:abstractNumId w:val="9"/>
  </w:num>
  <w:num w:numId="9">
    <w:abstractNumId w:val="3"/>
  </w:num>
  <w:num w:numId="10">
    <w:abstractNumId w:val="7"/>
  </w:num>
  <w:num w:numId="11">
    <w:abstractNumId w:val="5"/>
  </w:num>
  <w:num w:numId="12">
    <w:abstractNumId w:val="15"/>
  </w:num>
  <w:num w:numId="13">
    <w:abstractNumId w:val="6"/>
  </w:num>
  <w:num w:numId="14">
    <w:abstractNumId w:val="17"/>
  </w:num>
  <w:num w:numId="15">
    <w:abstractNumId w:val="8"/>
  </w:num>
  <w:num w:numId="16">
    <w:abstractNumId w:val="2"/>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BBC"/>
    <w:rsid w:val="00002051"/>
    <w:rsid w:val="00002E4F"/>
    <w:rsid w:val="0000424C"/>
    <w:rsid w:val="00030B6C"/>
    <w:rsid w:val="000418C0"/>
    <w:rsid w:val="000530C3"/>
    <w:rsid w:val="000916E7"/>
    <w:rsid w:val="00092C67"/>
    <w:rsid w:val="000B3618"/>
    <w:rsid w:val="000C223D"/>
    <w:rsid w:val="000F05F7"/>
    <w:rsid w:val="00125005"/>
    <w:rsid w:val="00130123"/>
    <w:rsid w:val="0014593C"/>
    <w:rsid w:val="00146A42"/>
    <w:rsid w:val="00151ADA"/>
    <w:rsid w:val="00184E5E"/>
    <w:rsid w:val="00196F43"/>
    <w:rsid w:val="001B1794"/>
    <w:rsid w:val="001B193D"/>
    <w:rsid w:val="001B6C8B"/>
    <w:rsid w:val="001D364A"/>
    <w:rsid w:val="001E3AFB"/>
    <w:rsid w:val="00223DFA"/>
    <w:rsid w:val="00224FBC"/>
    <w:rsid w:val="00232CAA"/>
    <w:rsid w:val="002438BE"/>
    <w:rsid w:val="00266342"/>
    <w:rsid w:val="00281ECE"/>
    <w:rsid w:val="00281F1D"/>
    <w:rsid w:val="00291583"/>
    <w:rsid w:val="002A77C3"/>
    <w:rsid w:val="002B5EDE"/>
    <w:rsid w:val="002C6793"/>
    <w:rsid w:val="002F2971"/>
    <w:rsid w:val="002F3B8E"/>
    <w:rsid w:val="00306D69"/>
    <w:rsid w:val="00345F82"/>
    <w:rsid w:val="00361AF8"/>
    <w:rsid w:val="00364B35"/>
    <w:rsid w:val="0037325D"/>
    <w:rsid w:val="00376FB0"/>
    <w:rsid w:val="0039051D"/>
    <w:rsid w:val="0039655C"/>
    <w:rsid w:val="003E146A"/>
    <w:rsid w:val="003E40B7"/>
    <w:rsid w:val="003F0B75"/>
    <w:rsid w:val="003F1C25"/>
    <w:rsid w:val="003F3E35"/>
    <w:rsid w:val="00435174"/>
    <w:rsid w:val="00436E0F"/>
    <w:rsid w:val="00442A3C"/>
    <w:rsid w:val="004603BF"/>
    <w:rsid w:val="00466DBB"/>
    <w:rsid w:val="00473757"/>
    <w:rsid w:val="0047391C"/>
    <w:rsid w:val="0047713E"/>
    <w:rsid w:val="004A264C"/>
    <w:rsid w:val="004B4501"/>
    <w:rsid w:val="004B6B92"/>
    <w:rsid w:val="004C4259"/>
    <w:rsid w:val="004D0920"/>
    <w:rsid w:val="004D1251"/>
    <w:rsid w:val="004D6CBE"/>
    <w:rsid w:val="004E77F5"/>
    <w:rsid w:val="00507CF9"/>
    <w:rsid w:val="005379EC"/>
    <w:rsid w:val="00540ABB"/>
    <w:rsid w:val="00550907"/>
    <w:rsid w:val="00570804"/>
    <w:rsid w:val="00580377"/>
    <w:rsid w:val="005B1A40"/>
    <w:rsid w:val="005C6409"/>
    <w:rsid w:val="005D70A7"/>
    <w:rsid w:val="00612E93"/>
    <w:rsid w:val="0065690E"/>
    <w:rsid w:val="006633B7"/>
    <w:rsid w:val="006741F6"/>
    <w:rsid w:val="00676206"/>
    <w:rsid w:val="006A1BC5"/>
    <w:rsid w:val="006A57CE"/>
    <w:rsid w:val="006B1A27"/>
    <w:rsid w:val="006B3D14"/>
    <w:rsid w:val="006E0B08"/>
    <w:rsid w:val="006E3513"/>
    <w:rsid w:val="006E3CBB"/>
    <w:rsid w:val="006F085C"/>
    <w:rsid w:val="00701E4E"/>
    <w:rsid w:val="00712E91"/>
    <w:rsid w:val="00720D84"/>
    <w:rsid w:val="007235B5"/>
    <w:rsid w:val="00730BEE"/>
    <w:rsid w:val="00732C21"/>
    <w:rsid w:val="00764221"/>
    <w:rsid w:val="00792C19"/>
    <w:rsid w:val="007F6F57"/>
    <w:rsid w:val="0080058A"/>
    <w:rsid w:val="008123F3"/>
    <w:rsid w:val="0081382E"/>
    <w:rsid w:val="00813DC1"/>
    <w:rsid w:val="008153CB"/>
    <w:rsid w:val="0082069F"/>
    <w:rsid w:val="00845143"/>
    <w:rsid w:val="008467F9"/>
    <w:rsid w:val="00855614"/>
    <w:rsid w:val="008646BC"/>
    <w:rsid w:val="00867E92"/>
    <w:rsid w:val="008850A6"/>
    <w:rsid w:val="008851F2"/>
    <w:rsid w:val="0089351B"/>
    <w:rsid w:val="00894615"/>
    <w:rsid w:val="00897785"/>
    <w:rsid w:val="008A47A9"/>
    <w:rsid w:val="008B105A"/>
    <w:rsid w:val="008C7601"/>
    <w:rsid w:val="008E236D"/>
    <w:rsid w:val="0090765D"/>
    <w:rsid w:val="00917291"/>
    <w:rsid w:val="00934BF7"/>
    <w:rsid w:val="009547A8"/>
    <w:rsid w:val="0096146C"/>
    <w:rsid w:val="00973683"/>
    <w:rsid w:val="00976DB5"/>
    <w:rsid w:val="009819B7"/>
    <w:rsid w:val="009B0387"/>
    <w:rsid w:val="009B63F2"/>
    <w:rsid w:val="009D298F"/>
    <w:rsid w:val="00A11016"/>
    <w:rsid w:val="00A7135F"/>
    <w:rsid w:val="00A92198"/>
    <w:rsid w:val="00AA4B9D"/>
    <w:rsid w:val="00AC7A92"/>
    <w:rsid w:val="00AD4E1A"/>
    <w:rsid w:val="00AE3866"/>
    <w:rsid w:val="00AE5253"/>
    <w:rsid w:val="00B10003"/>
    <w:rsid w:val="00B27C39"/>
    <w:rsid w:val="00B52A56"/>
    <w:rsid w:val="00B561BB"/>
    <w:rsid w:val="00B83CDA"/>
    <w:rsid w:val="00BB3B8E"/>
    <w:rsid w:val="00BB4D7F"/>
    <w:rsid w:val="00BC3A15"/>
    <w:rsid w:val="00BD089C"/>
    <w:rsid w:val="00BD6ECE"/>
    <w:rsid w:val="00BE0F5C"/>
    <w:rsid w:val="00BF4692"/>
    <w:rsid w:val="00BF7852"/>
    <w:rsid w:val="00C26BBC"/>
    <w:rsid w:val="00C27EDD"/>
    <w:rsid w:val="00C543C0"/>
    <w:rsid w:val="00C67E4C"/>
    <w:rsid w:val="00C71821"/>
    <w:rsid w:val="00C71CE5"/>
    <w:rsid w:val="00C722AE"/>
    <w:rsid w:val="00C741F6"/>
    <w:rsid w:val="00C76C36"/>
    <w:rsid w:val="00C91489"/>
    <w:rsid w:val="00CA1E72"/>
    <w:rsid w:val="00CB16E3"/>
    <w:rsid w:val="00CB3853"/>
    <w:rsid w:val="00CC2EBC"/>
    <w:rsid w:val="00CE2152"/>
    <w:rsid w:val="00CE4794"/>
    <w:rsid w:val="00CE74A3"/>
    <w:rsid w:val="00CF7B9B"/>
    <w:rsid w:val="00CF7CD4"/>
    <w:rsid w:val="00D14195"/>
    <w:rsid w:val="00D43695"/>
    <w:rsid w:val="00D562E3"/>
    <w:rsid w:val="00D70D40"/>
    <w:rsid w:val="00DB43F1"/>
    <w:rsid w:val="00DC547E"/>
    <w:rsid w:val="00DD05E9"/>
    <w:rsid w:val="00DD188B"/>
    <w:rsid w:val="00E008F4"/>
    <w:rsid w:val="00E06DD6"/>
    <w:rsid w:val="00E616A8"/>
    <w:rsid w:val="00EA4614"/>
    <w:rsid w:val="00EA7F80"/>
    <w:rsid w:val="00EE4B87"/>
    <w:rsid w:val="00EE5798"/>
    <w:rsid w:val="00EF173B"/>
    <w:rsid w:val="00EF4A3C"/>
    <w:rsid w:val="00F201AE"/>
    <w:rsid w:val="00F534C2"/>
    <w:rsid w:val="00F60C7C"/>
    <w:rsid w:val="00F72E96"/>
    <w:rsid w:val="00F76565"/>
    <w:rsid w:val="00F84CC3"/>
    <w:rsid w:val="00F86897"/>
    <w:rsid w:val="00F92345"/>
    <w:rsid w:val="00FC53B5"/>
    <w:rsid w:val="00FC77EB"/>
    <w:rsid w:val="00FD18A3"/>
    <w:rsid w:val="00FD6770"/>
    <w:rsid w:val="00FE0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0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683"/>
    <w:pPr>
      <w:ind w:left="720"/>
      <w:contextualSpacing/>
    </w:pPr>
  </w:style>
  <w:style w:type="paragraph" w:styleId="FootnoteText">
    <w:name w:val="footnote text"/>
    <w:basedOn w:val="Normal"/>
    <w:link w:val="FootnoteTextChar"/>
    <w:uiPriority w:val="99"/>
    <w:semiHidden/>
    <w:unhideWhenUsed/>
    <w:rsid w:val="00F765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6565"/>
    <w:rPr>
      <w:sz w:val="20"/>
      <w:szCs w:val="20"/>
    </w:rPr>
  </w:style>
  <w:style w:type="character" w:styleId="FootnoteReference">
    <w:name w:val="footnote reference"/>
    <w:basedOn w:val="DefaultParagraphFont"/>
    <w:uiPriority w:val="99"/>
    <w:semiHidden/>
    <w:unhideWhenUsed/>
    <w:rsid w:val="00F76565"/>
    <w:rPr>
      <w:vertAlign w:val="superscript"/>
    </w:rPr>
  </w:style>
  <w:style w:type="paragraph" w:styleId="BalloonText">
    <w:name w:val="Balloon Text"/>
    <w:basedOn w:val="Normal"/>
    <w:link w:val="BalloonTextChar"/>
    <w:uiPriority w:val="99"/>
    <w:semiHidden/>
    <w:unhideWhenUsed/>
    <w:rsid w:val="006A1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BC5"/>
    <w:rPr>
      <w:rFonts w:ascii="Tahoma" w:hAnsi="Tahoma" w:cs="Tahoma"/>
      <w:sz w:val="16"/>
      <w:szCs w:val="16"/>
    </w:rPr>
  </w:style>
  <w:style w:type="paragraph" w:styleId="Header">
    <w:name w:val="header"/>
    <w:basedOn w:val="Normal"/>
    <w:link w:val="HeaderChar"/>
    <w:uiPriority w:val="99"/>
    <w:unhideWhenUsed/>
    <w:rsid w:val="00266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342"/>
  </w:style>
  <w:style w:type="paragraph" w:styleId="Footer">
    <w:name w:val="footer"/>
    <w:basedOn w:val="Normal"/>
    <w:link w:val="FooterChar"/>
    <w:uiPriority w:val="99"/>
    <w:unhideWhenUsed/>
    <w:rsid w:val="00266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342"/>
  </w:style>
  <w:style w:type="paragraph" w:styleId="BlockText">
    <w:name w:val="Block Text"/>
    <w:basedOn w:val="Normal"/>
    <w:link w:val="BlockTextChar"/>
    <w:rsid w:val="004D0920"/>
    <w:pPr>
      <w:numPr>
        <w:numId w:val="3"/>
      </w:numPr>
      <w:spacing w:after="240" w:line="360" w:lineRule="auto"/>
      <w:jc w:val="both"/>
    </w:pPr>
    <w:rPr>
      <w:rFonts w:ascii="Calibri" w:eastAsia="Times New Roman" w:hAnsi="Calibri" w:cs="Times New Roman"/>
    </w:rPr>
  </w:style>
  <w:style w:type="paragraph" w:styleId="ListBullet">
    <w:name w:val="List Bullet"/>
    <w:basedOn w:val="Normal"/>
    <w:autoRedefine/>
    <w:rsid w:val="004D0920"/>
    <w:pPr>
      <w:numPr>
        <w:numId w:val="2"/>
      </w:numPr>
      <w:spacing w:after="240" w:line="360" w:lineRule="auto"/>
      <w:ind w:left="357" w:hanging="357"/>
      <w:jc w:val="both"/>
    </w:pPr>
    <w:rPr>
      <w:rFonts w:ascii="Calibri" w:eastAsia="Times New Roman" w:hAnsi="Calibri" w:cs="Times New Roman"/>
      <w:noProof/>
    </w:rPr>
  </w:style>
  <w:style w:type="paragraph" w:customStyle="1" w:styleId="AAABodyText">
    <w:name w:val="AAA Body Text"/>
    <w:basedOn w:val="ListParagraph"/>
    <w:rsid w:val="004D0920"/>
    <w:pPr>
      <w:numPr>
        <w:numId w:val="4"/>
      </w:numPr>
      <w:tabs>
        <w:tab w:val="left" w:pos="-15168"/>
        <w:tab w:val="left" w:pos="-15026"/>
      </w:tabs>
      <w:spacing w:after="100" w:afterAutospacing="1" w:line="360" w:lineRule="auto"/>
      <w:ind w:left="0" w:firstLine="0"/>
      <w:contextualSpacing w:val="0"/>
      <w:jc w:val="both"/>
    </w:pPr>
    <w:rPr>
      <w:rFonts w:ascii="FS Albert" w:eastAsia="Times New Roman" w:hAnsi="FS Albert" w:cs="Times New Roman"/>
      <w:sz w:val="24"/>
      <w:szCs w:val="24"/>
      <w:lang w:eastAsia="en-GB"/>
    </w:rPr>
  </w:style>
  <w:style w:type="paragraph" w:customStyle="1" w:styleId="AAABodytext0">
    <w:name w:val="AAA Body text"/>
    <w:basedOn w:val="ListParagraph"/>
    <w:rsid w:val="004D0920"/>
    <w:pPr>
      <w:tabs>
        <w:tab w:val="left" w:pos="-15168"/>
        <w:tab w:val="left" w:pos="-1985"/>
      </w:tabs>
      <w:spacing w:after="100" w:afterAutospacing="1" w:line="360" w:lineRule="auto"/>
      <w:ind w:left="0"/>
      <w:contextualSpacing w:val="0"/>
      <w:jc w:val="both"/>
    </w:pPr>
    <w:rPr>
      <w:rFonts w:ascii="FS Albert" w:eastAsia="Times New Roman" w:hAnsi="FS Albert" w:cs="Times New Roman"/>
      <w:sz w:val="24"/>
      <w:szCs w:val="24"/>
      <w:lang w:eastAsia="en-GB"/>
    </w:rPr>
  </w:style>
  <w:style w:type="character" w:customStyle="1" w:styleId="BlockTextChar">
    <w:name w:val="Block Text Char"/>
    <w:link w:val="BlockText"/>
    <w:rsid w:val="004D0920"/>
    <w:rPr>
      <w:rFonts w:ascii="Calibri" w:eastAsia="Times New Roman" w:hAnsi="Calibri" w:cs="Times New Roman"/>
    </w:rPr>
  </w:style>
  <w:style w:type="character" w:customStyle="1" w:styleId="st1">
    <w:name w:val="st1"/>
    <w:basedOn w:val="DefaultParagraphFont"/>
    <w:rsid w:val="00A11016"/>
  </w:style>
  <w:style w:type="character" w:styleId="Hyperlink">
    <w:name w:val="Hyperlink"/>
    <w:basedOn w:val="DefaultParagraphFont"/>
    <w:uiPriority w:val="99"/>
    <w:unhideWhenUsed/>
    <w:rsid w:val="006633B7"/>
    <w:rPr>
      <w:color w:val="0000FF" w:themeColor="hyperlink"/>
      <w:u w:val="single"/>
    </w:rPr>
  </w:style>
  <w:style w:type="character" w:styleId="FollowedHyperlink">
    <w:name w:val="FollowedHyperlink"/>
    <w:basedOn w:val="DefaultParagraphFont"/>
    <w:uiPriority w:val="99"/>
    <w:semiHidden/>
    <w:unhideWhenUsed/>
    <w:rsid w:val="006633B7"/>
    <w:rPr>
      <w:color w:val="800080" w:themeColor="followedHyperlink"/>
      <w:u w:val="single"/>
    </w:rPr>
  </w:style>
  <w:style w:type="character" w:customStyle="1" w:styleId="verdana">
    <w:name w:val="verdana"/>
    <w:basedOn w:val="DefaultParagraphFont"/>
    <w:rsid w:val="009819B7"/>
  </w:style>
  <w:style w:type="character" w:styleId="CommentReference">
    <w:name w:val="annotation reference"/>
    <w:basedOn w:val="DefaultParagraphFont"/>
    <w:uiPriority w:val="99"/>
    <w:semiHidden/>
    <w:unhideWhenUsed/>
    <w:rsid w:val="00D43695"/>
    <w:rPr>
      <w:sz w:val="16"/>
      <w:szCs w:val="16"/>
    </w:rPr>
  </w:style>
  <w:style w:type="paragraph" w:styleId="CommentText">
    <w:name w:val="annotation text"/>
    <w:basedOn w:val="Normal"/>
    <w:link w:val="CommentTextChar"/>
    <w:uiPriority w:val="99"/>
    <w:semiHidden/>
    <w:unhideWhenUsed/>
    <w:rsid w:val="00D43695"/>
    <w:pPr>
      <w:spacing w:line="240" w:lineRule="auto"/>
    </w:pPr>
    <w:rPr>
      <w:sz w:val="20"/>
      <w:szCs w:val="20"/>
    </w:rPr>
  </w:style>
  <w:style w:type="character" w:customStyle="1" w:styleId="CommentTextChar">
    <w:name w:val="Comment Text Char"/>
    <w:basedOn w:val="DefaultParagraphFont"/>
    <w:link w:val="CommentText"/>
    <w:uiPriority w:val="99"/>
    <w:semiHidden/>
    <w:rsid w:val="00D43695"/>
    <w:rPr>
      <w:sz w:val="20"/>
      <w:szCs w:val="20"/>
    </w:rPr>
  </w:style>
  <w:style w:type="paragraph" w:styleId="CommentSubject">
    <w:name w:val="annotation subject"/>
    <w:basedOn w:val="CommentText"/>
    <w:next w:val="CommentText"/>
    <w:link w:val="CommentSubjectChar"/>
    <w:uiPriority w:val="99"/>
    <w:semiHidden/>
    <w:unhideWhenUsed/>
    <w:rsid w:val="00D43695"/>
    <w:rPr>
      <w:b/>
      <w:bCs/>
    </w:rPr>
  </w:style>
  <w:style w:type="character" w:customStyle="1" w:styleId="CommentSubjectChar">
    <w:name w:val="Comment Subject Char"/>
    <w:basedOn w:val="CommentTextChar"/>
    <w:link w:val="CommentSubject"/>
    <w:uiPriority w:val="99"/>
    <w:semiHidden/>
    <w:rsid w:val="00D4369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0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683"/>
    <w:pPr>
      <w:ind w:left="720"/>
      <w:contextualSpacing/>
    </w:pPr>
  </w:style>
  <w:style w:type="paragraph" w:styleId="FootnoteText">
    <w:name w:val="footnote text"/>
    <w:basedOn w:val="Normal"/>
    <w:link w:val="FootnoteTextChar"/>
    <w:uiPriority w:val="99"/>
    <w:semiHidden/>
    <w:unhideWhenUsed/>
    <w:rsid w:val="00F765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6565"/>
    <w:rPr>
      <w:sz w:val="20"/>
      <w:szCs w:val="20"/>
    </w:rPr>
  </w:style>
  <w:style w:type="character" w:styleId="FootnoteReference">
    <w:name w:val="footnote reference"/>
    <w:basedOn w:val="DefaultParagraphFont"/>
    <w:uiPriority w:val="99"/>
    <w:semiHidden/>
    <w:unhideWhenUsed/>
    <w:rsid w:val="00F76565"/>
    <w:rPr>
      <w:vertAlign w:val="superscript"/>
    </w:rPr>
  </w:style>
  <w:style w:type="paragraph" w:styleId="BalloonText">
    <w:name w:val="Balloon Text"/>
    <w:basedOn w:val="Normal"/>
    <w:link w:val="BalloonTextChar"/>
    <w:uiPriority w:val="99"/>
    <w:semiHidden/>
    <w:unhideWhenUsed/>
    <w:rsid w:val="006A1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BC5"/>
    <w:rPr>
      <w:rFonts w:ascii="Tahoma" w:hAnsi="Tahoma" w:cs="Tahoma"/>
      <w:sz w:val="16"/>
      <w:szCs w:val="16"/>
    </w:rPr>
  </w:style>
  <w:style w:type="paragraph" w:styleId="Header">
    <w:name w:val="header"/>
    <w:basedOn w:val="Normal"/>
    <w:link w:val="HeaderChar"/>
    <w:uiPriority w:val="99"/>
    <w:unhideWhenUsed/>
    <w:rsid w:val="00266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342"/>
  </w:style>
  <w:style w:type="paragraph" w:styleId="Footer">
    <w:name w:val="footer"/>
    <w:basedOn w:val="Normal"/>
    <w:link w:val="FooterChar"/>
    <w:uiPriority w:val="99"/>
    <w:unhideWhenUsed/>
    <w:rsid w:val="00266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342"/>
  </w:style>
  <w:style w:type="paragraph" w:styleId="BlockText">
    <w:name w:val="Block Text"/>
    <w:basedOn w:val="Normal"/>
    <w:link w:val="BlockTextChar"/>
    <w:rsid w:val="004D0920"/>
    <w:pPr>
      <w:numPr>
        <w:numId w:val="3"/>
      </w:numPr>
      <w:spacing w:after="240" w:line="360" w:lineRule="auto"/>
      <w:jc w:val="both"/>
    </w:pPr>
    <w:rPr>
      <w:rFonts w:ascii="Calibri" w:eastAsia="Times New Roman" w:hAnsi="Calibri" w:cs="Times New Roman"/>
    </w:rPr>
  </w:style>
  <w:style w:type="paragraph" w:styleId="ListBullet">
    <w:name w:val="List Bullet"/>
    <w:basedOn w:val="Normal"/>
    <w:autoRedefine/>
    <w:rsid w:val="004D0920"/>
    <w:pPr>
      <w:numPr>
        <w:numId w:val="2"/>
      </w:numPr>
      <w:spacing w:after="240" w:line="360" w:lineRule="auto"/>
      <w:ind w:left="357" w:hanging="357"/>
      <w:jc w:val="both"/>
    </w:pPr>
    <w:rPr>
      <w:rFonts w:ascii="Calibri" w:eastAsia="Times New Roman" w:hAnsi="Calibri" w:cs="Times New Roman"/>
      <w:noProof/>
    </w:rPr>
  </w:style>
  <w:style w:type="paragraph" w:customStyle="1" w:styleId="AAABodyText">
    <w:name w:val="AAA Body Text"/>
    <w:basedOn w:val="ListParagraph"/>
    <w:rsid w:val="004D0920"/>
    <w:pPr>
      <w:numPr>
        <w:numId w:val="4"/>
      </w:numPr>
      <w:tabs>
        <w:tab w:val="left" w:pos="-15168"/>
        <w:tab w:val="left" w:pos="-15026"/>
      </w:tabs>
      <w:spacing w:after="100" w:afterAutospacing="1" w:line="360" w:lineRule="auto"/>
      <w:ind w:left="0" w:firstLine="0"/>
      <w:contextualSpacing w:val="0"/>
      <w:jc w:val="both"/>
    </w:pPr>
    <w:rPr>
      <w:rFonts w:ascii="FS Albert" w:eastAsia="Times New Roman" w:hAnsi="FS Albert" w:cs="Times New Roman"/>
      <w:sz w:val="24"/>
      <w:szCs w:val="24"/>
      <w:lang w:eastAsia="en-GB"/>
    </w:rPr>
  </w:style>
  <w:style w:type="paragraph" w:customStyle="1" w:styleId="AAABodytext0">
    <w:name w:val="AAA Body text"/>
    <w:basedOn w:val="ListParagraph"/>
    <w:rsid w:val="004D0920"/>
    <w:pPr>
      <w:tabs>
        <w:tab w:val="left" w:pos="-15168"/>
        <w:tab w:val="left" w:pos="-1985"/>
      </w:tabs>
      <w:spacing w:after="100" w:afterAutospacing="1" w:line="360" w:lineRule="auto"/>
      <w:ind w:left="0"/>
      <w:contextualSpacing w:val="0"/>
      <w:jc w:val="both"/>
    </w:pPr>
    <w:rPr>
      <w:rFonts w:ascii="FS Albert" w:eastAsia="Times New Roman" w:hAnsi="FS Albert" w:cs="Times New Roman"/>
      <w:sz w:val="24"/>
      <w:szCs w:val="24"/>
      <w:lang w:eastAsia="en-GB"/>
    </w:rPr>
  </w:style>
  <w:style w:type="character" w:customStyle="1" w:styleId="BlockTextChar">
    <w:name w:val="Block Text Char"/>
    <w:link w:val="BlockText"/>
    <w:rsid w:val="004D0920"/>
    <w:rPr>
      <w:rFonts w:ascii="Calibri" w:eastAsia="Times New Roman" w:hAnsi="Calibri" w:cs="Times New Roman"/>
    </w:rPr>
  </w:style>
  <w:style w:type="character" w:customStyle="1" w:styleId="st1">
    <w:name w:val="st1"/>
    <w:basedOn w:val="DefaultParagraphFont"/>
    <w:rsid w:val="00A11016"/>
  </w:style>
  <w:style w:type="character" w:styleId="Hyperlink">
    <w:name w:val="Hyperlink"/>
    <w:basedOn w:val="DefaultParagraphFont"/>
    <w:uiPriority w:val="99"/>
    <w:unhideWhenUsed/>
    <w:rsid w:val="006633B7"/>
    <w:rPr>
      <w:color w:val="0000FF" w:themeColor="hyperlink"/>
      <w:u w:val="single"/>
    </w:rPr>
  </w:style>
  <w:style w:type="character" w:styleId="FollowedHyperlink">
    <w:name w:val="FollowedHyperlink"/>
    <w:basedOn w:val="DefaultParagraphFont"/>
    <w:uiPriority w:val="99"/>
    <w:semiHidden/>
    <w:unhideWhenUsed/>
    <w:rsid w:val="006633B7"/>
    <w:rPr>
      <w:color w:val="800080" w:themeColor="followedHyperlink"/>
      <w:u w:val="single"/>
    </w:rPr>
  </w:style>
  <w:style w:type="character" w:customStyle="1" w:styleId="verdana">
    <w:name w:val="verdana"/>
    <w:basedOn w:val="DefaultParagraphFont"/>
    <w:rsid w:val="009819B7"/>
  </w:style>
  <w:style w:type="character" w:styleId="CommentReference">
    <w:name w:val="annotation reference"/>
    <w:basedOn w:val="DefaultParagraphFont"/>
    <w:uiPriority w:val="99"/>
    <w:semiHidden/>
    <w:unhideWhenUsed/>
    <w:rsid w:val="00D43695"/>
    <w:rPr>
      <w:sz w:val="16"/>
      <w:szCs w:val="16"/>
    </w:rPr>
  </w:style>
  <w:style w:type="paragraph" w:styleId="CommentText">
    <w:name w:val="annotation text"/>
    <w:basedOn w:val="Normal"/>
    <w:link w:val="CommentTextChar"/>
    <w:uiPriority w:val="99"/>
    <w:semiHidden/>
    <w:unhideWhenUsed/>
    <w:rsid w:val="00D43695"/>
    <w:pPr>
      <w:spacing w:line="240" w:lineRule="auto"/>
    </w:pPr>
    <w:rPr>
      <w:sz w:val="20"/>
      <w:szCs w:val="20"/>
    </w:rPr>
  </w:style>
  <w:style w:type="character" w:customStyle="1" w:styleId="CommentTextChar">
    <w:name w:val="Comment Text Char"/>
    <w:basedOn w:val="DefaultParagraphFont"/>
    <w:link w:val="CommentText"/>
    <w:uiPriority w:val="99"/>
    <w:semiHidden/>
    <w:rsid w:val="00D43695"/>
    <w:rPr>
      <w:sz w:val="20"/>
      <w:szCs w:val="20"/>
    </w:rPr>
  </w:style>
  <w:style w:type="paragraph" w:styleId="CommentSubject">
    <w:name w:val="annotation subject"/>
    <w:basedOn w:val="CommentText"/>
    <w:next w:val="CommentText"/>
    <w:link w:val="CommentSubjectChar"/>
    <w:uiPriority w:val="99"/>
    <w:semiHidden/>
    <w:unhideWhenUsed/>
    <w:rsid w:val="00D43695"/>
    <w:rPr>
      <w:b/>
      <w:bCs/>
    </w:rPr>
  </w:style>
  <w:style w:type="character" w:customStyle="1" w:styleId="CommentSubjectChar">
    <w:name w:val="Comment Subject Char"/>
    <w:basedOn w:val="CommentTextChar"/>
    <w:link w:val="CommentSubject"/>
    <w:uiPriority w:val="99"/>
    <w:semiHidden/>
    <w:rsid w:val="00D436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52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news.bbc.co.uk/1/hi/scotland/tayside_and_central/7619299.stm" TargetMode="External"/><Relationship Id="rId1" Type="http://schemas.openxmlformats.org/officeDocument/2006/relationships/hyperlink" Target="http://news.bbc.co.uk/1/hi/scotland/south_of_scotland/8205528.s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fenn\Desktop\Position%20Paper%20Styl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7111C-2C1B-4579-B677-E764E884A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Position Paper Style 2</Template>
  <TotalTime>1</TotalTime>
  <Pages>8</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MacLean</dc:creator>
  <cp:lastModifiedBy>Daniel Fenn</cp:lastModifiedBy>
  <cp:revision>2</cp:revision>
  <cp:lastPrinted>2014-06-05T10:34:00Z</cp:lastPrinted>
  <dcterms:created xsi:type="dcterms:W3CDTF">2020-12-08T18:44:00Z</dcterms:created>
  <dcterms:modified xsi:type="dcterms:W3CDTF">2020-12-08T18:44:00Z</dcterms:modified>
</cp:coreProperties>
</file>