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8F7" w:rsidRPr="009E68F7" w:rsidRDefault="009E68F7" w:rsidP="009E68F7">
      <w:pPr>
        <w:spacing w:after="120" w:line="240" w:lineRule="atLeast"/>
        <w:textAlignment w:val="baseline"/>
        <w:outlineLvl w:val="0"/>
        <w:rPr>
          <w:rFonts w:ascii="Arial" w:eastAsia="Times New Roman" w:hAnsi="Arial" w:cs="Arial"/>
          <w:color w:val="A50532"/>
          <w:kern w:val="36"/>
          <w:sz w:val="52"/>
          <w:szCs w:val="52"/>
          <w:lang w:eastAsia="en-GB"/>
        </w:rPr>
      </w:pPr>
      <w:r w:rsidRPr="009E68F7">
        <w:rPr>
          <w:rFonts w:ascii="Arial" w:eastAsia="Times New Roman" w:hAnsi="Arial" w:cs="Arial"/>
          <w:color w:val="A50532"/>
          <w:kern w:val="36"/>
          <w:sz w:val="52"/>
          <w:szCs w:val="52"/>
          <w:lang w:eastAsia="en-GB"/>
        </w:rPr>
        <w:t>Work related stress, anxiety and depression statistics in Great Britain 2016</w:t>
      </w:r>
    </w:p>
    <w:p w:rsidR="009E68F7" w:rsidRPr="009E68F7" w:rsidRDefault="009E68F7" w:rsidP="009E68F7">
      <w:pPr>
        <w:spacing w:after="24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en-GB"/>
        </w:rPr>
      </w:pPr>
      <w:r w:rsidRPr="009E68F7">
        <w:rPr>
          <w:rFonts w:ascii="Arial" w:eastAsia="Times New Roman" w:hAnsi="Arial" w:cs="Arial"/>
          <w:color w:val="111111"/>
          <w:sz w:val="20"/>
          <w:szCs w:val="20"/>
          <w:lang w:eastAsia="en-GB"/>
        </w:rPr>
        <w:t>The latest estimates from the Labour Force Survey (</w:t>
      </w:r>
      <w:proofErr w:type="spellStart"/>
      <w:r w:rsidRPr="009E68F7">
        <w:rPr>
          <w:rFonts w:ascii="Arial" w:eastAsia="Times New Roman" w:hAnsi="Arial" w:cs="Arial"/>
          <w:color w:val="111111"/>
          <w:sz w:val="20"/>
          <w:szCs w:val="20"/>
          <w:lang w:eastAsia="en-GB"/>
        </w:rPr>
        <w:t>LFS</w:t>
      </w:r>
      <w:proofErr w:type="spellEnd"/>
      <w:r w:rsidRPr="009E68F7">
        <w:rPr>
          <w:rFonts w:ascii="Arial" w:eastAsia="Times New Roman" w:hAnsi="Arial" w:cs="Arial"/>
          <w:color w:val="111111"/>
          <w:sz w:val="20"/>
          <w:szCs w:val="20"/>
          <w:lang w:eastAsia="en-GB"/>
        </w:rPr>
        <w:t>) show:</w:t>
      </w:r>
    </w:p>
    <w:p w:rsidR="009E68F7" w:rsidRPr="009E68F7" w:rsidRDefault="009E68F7" w:rsidP="009E68F7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111111"/>
          <w:sz w:val="20"/>
          <w:szCs w:val="20"/>
          <w:lang w:eastAsia="en-GB"/>
        </w:rPr>
      </w:pPr>
      <w:r w:rsidRPr="009E68F7">
        <w:rPr>
          <w:rFonts w:ascii="inherit" w:eastAsia="Times New Roman" w:hAnsi="inherit" w:cs="Arial"/>
          <w:color w:val="111111"/>
          <w:sz w:val="20"/>
          <w:szCs w:val="20"/>
          <w:lang w:eastAsia="en-GB"/>
        </w:rPr>
        <w:t>The total number of cases of work related stress, depression or anxiety in 2015/16 was 488,000 cases, a prevalence rate of 1510 per 100,000 workers.</w:t>
      </w:r>
    </w:p>
    <w:p w:rsidR="009E68F7" w:rsidRPr="009E68F7" w:rsidRDefault="009E68F7" w:rsidP="009E68F7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111111"/>
          <w:sz w:val="20"/>
          <w:szCs w:val="20"/>
          <w:lang w:eastAsia="en-GB"/>
        </w:rPr>
      </w:pPr>
      <w:r w:rsidRPr="009E68F7">
        <w:rPr>
          <w:rFonts w:ascii="inherit" w:eastAsia="Times New Roman" w:hAnsi="inherit" w:cs="Arial"/>
          <w:color w:val="111111"/>
          <w:sz w:val="20"/>
          <w:szCs w:val="20"/>
          <w:lang w:eastAsia="en-GB"/>
        </w:rPr>
        <w:t>The number of new cases was 224,000, an incidence rate of 690 per 100,000 workers. The estimated number and rate have remained broadly flat for more than a decade.</w:t>
      </w:r>
    </w:p>
    <w:p w:rsidR="009E68F7" w:rsidRPr="009E68F7" w:rsidRDefault="009E68F7" w:rsidP="009E68F7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111111"/>
          <w:sz w:val="20"/>
          <w:szCs w:val="20"/>
          <w:lang w:eastAsia="en-GB"/>
        </w:rPr>
      </w:pPr>
      <w:r w:rsidRPr="009E68F7">
        <w:rPr>
          <w:rFonts w:ascii="inherit" w:eastAsia="Times New Roman" w:hAnsi="inherit" w:cs="Arial"/>
          <w:color w:val="111111"/>
          <w:sz w:val="20"/>
          <w:szCs w:val="20"/>
          <w:lang w:eastAsia="en-GB"/>
        </w:rPr>
        <w:t>The total number of working days lost due to this condition in 2015/16 was 11.7 million days. This equated to an average of 23.9 days lost per case. Working days lost per worker showed a generally downward trend up to around 2009/10; since then the rate has been broadly flat.</w:t>
      </w:r>
    </w:p>
    <w:p w:rsidR="009E68F7" w:rsidRPr="009E68F7" w:rsidRDefault="009E68F7" w:rsidP="009E68F7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111111"/>
          <w:sz w:val="20"/>
          <w:szCs w:val="20"/>
          <w:lang w:eastAsia="en-GB"/>
        </w:rPr>
      </w:pPr>
      <w:r w:rsidRPr="009E68F7">
        <w:rPr>
          <w:rFonts w:ascii="inherit" w:eastAsia="Times New Roman" w:hAnsi="inherit" w:cs="Arial"/>
          <w:color w:val="111111"/>
          <w:sz w:val="20"/>
          <w:szCs w:val="20"/>
          <w:lang w:eastAsia="en-GB"/>
        </w:rPr>
        <w:t>In 2015/16 stress accounted for 37% of all work related ill health cases and 45% of all working days lost due to ill health.</w:t>
      </w:r>
    </w:p>
    <w:p w:rsidR="009E68F7" w:rsidRPr="009E68F7" w:rsidRDefault="009E68F7" w:rsidP="009E68F7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111111"/>
          <w:sz w:val="20"/>
          <w:szCs w:val="20"/>
          <w:lang w:eastAsia="en-GB"/>
        </w:rPr>
      </w:pPr>
      <w:r w:rsidRPr="009E68F7">
        <w:rPr>
          <w:rFonts w:ascii="inherit" w:eastAsia="Times New Roman" w:hAnsi="inherit" w:cs="Arial"/>
          <w:color w:val="111111"/>
          <w:sz w:val="20"/>
          <w:szCs w:val="20"/>
          <w:lang w:eastAsia="en-GB"/>
        </w:rPr>
        <w:t>Stress is more prevalent in public service industries, such as education; health and social care; and public administration and defence.</w:t>
      </w:r>
    </w:p>
    <w:p w:rsidR="009E68F7" w:rsidRPr="009E68F7" w:rsidRDefault="009E68F7" w:rsidP="009E68F7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111111"/>
          <w:sz w:val="20"/>
          <w:szCs w:val="20"/>
          <w:lang w:eastAsia="en-GB"/>
        </w:rPr>
      </w:pPr>
      <w:r w:rsidRPr="009E68F7">
        <w:rPr>
          <w:rFonts w:ascii="inherit" w:eastAsia="Times New Roman" w:hAnsi="inherit" w:cs="Arial"/>
          <w:color w:val="111111"/>
          <w:sz w:val="20"/>
          <w:szCs w:val="20"/>
          <w:lang w:eastAsia="en-GB"/>
        </w:rPr>
        <w:t>By occupation, jobs that are common across public service industries (such as healthcare workers; teaching professionals; business, media and public service professionals) show higher levels of stress as compared to all jobs.</w:t>
      </w:r>
    </w:p>
    <w:p w:rsidR="009E68F7" w:rsidRPr="009E68F7" w:rsidRDefault="009E68F7" w:rsidP="009E68F7">
      <w:pPr>
        <w:numPr>
          <w:ilvl w:val="0"/>
          <w:numId w:val="1"/>
        </w:numPr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111111"/>
          <w:sz w:val="20"/>
          <w:szCs w:val="20"/>
          <w:lang w:eastAsia="en-GB"/>
        </w:rPr>
      </w:pPr>
      <w:r w:rsidRPr="009E68F7">
        <w:rPr>
          <w:rFonts w:ascii="inherit" w:eastAsia="Times New Roman" w:hAnsi="inherit" w:cs="Arial"/>
          <w:color w:val="111111"/>
          <w:sz w:val="20"/>
          <w:szCs w:val="20"/>
          <w:lang w:eastAsia="en-GB"/>
        </w:rPr>
        <w:t>The main work factors cited by respondents as causing work related stress, depression or anxiety (</w:t>
      </w:r>
      <w:proofErr w:type="spellStart"/>
      <w:r w:rsidRPr="009E68F7">
        <w:rPr>
          <w:rFonts w:ascii="inherit" w:eastAsia="Times New Roman" w:hAnsi="inherit" w:cs="Arial"/>
          <w:color w:val="111111"/>
          <w:sz w:val="20"/>
          <w:szCs w:val="20"/>
          <w:lang w:eastAsia="en-GB"/>
        </w:rPr>
        <w:t>LFS</w:t>
      </w:r>
      <w:proofErr w:type="spellEnd"/>
      <w:r w:rsidRPr="009E68F7">
        <w:rPr>
          <w:rFonts w:ascii="inherit" w:eastAsia="Times New Roman" w:hAnsi="inherit" w:cs="Arial"/>
          <w:color w:val="111111"/>
          <w:sz w:val="20"/>
          <w:szCs w:val="20"/>
          <w:lang w:eastAsia="en-GB"/>
        </w:rPr>
        <w:t>) were workload pressures, including tight deadlines and too much responsibility and a lack of managerial support</w:t>
      </w:r>
    </w:p>
    <w:p w:rsidR="009E68F7" w:rsidRPr="009E68F7" w:rsidRDefault="009E68F7" w:rsidP="009E68F7">
      <w:pPr>
        <w:spacing w:after="0" w:line="288" w:lineRule="atLeast"/>
        <w:textAlignment w:val="baseline"/>
        <w:outlineLvl w:val="1"/>
        <w:rPr>
          <w:rFonts w:ascii="Arial" w:eastAsia="Times New Roman" w:hAnsi="Arial" w:cs="Arial"/>
          <w:color w:val="4E4E4E"/>
          <w:sz w:val="38"/>
          <w:szCs w:val="38"/>
          <w:lang w:eastAsia="en-GB"/>
        </w:rPr>
      </w:pPr>
      <w:r w:rsidRPr="009E68F7">
        <w:rPr>
          <w:rFonts w:ascii="inherit" w:eastAsia="Times New Roman" w:hAnsi="inherit" w:cs="Arial"/>
          <w:color w:val="4E4E4E"/>
          <w:sz w:val="38"/>
          <w:szCs w:val="38"/>
          <w:bdr w:val="none" w:sz="0" w:space="0" w:color="auto" w:frame="1"/>
          <w:lang w:eastAsia="en-GB"/>
        </w:rPr>
        <w:t xml:space="preserve">Figure 1 - Estimated rates for prevalence (total cases) and incidence (new cases) of stress, depression or </w:t>
      </w:r>
      <w:bookmarkStart w:id="0" w:name="_GoBack"/>
      <w:bookmarkEnd w:id="0"/>
      <w:r w:rsidRPr="009E68F7">
        <w:rPr>
          <w:rFonts w:ascii="inherit" w:eastAsia="Times New Roman" w:hAnsi="inherit" w:cs="Arial"/>
          <w:color w:val="4E4E4E"/>
          <w:sz w:val="38"/>
          <w:szCs w:val="38"/>
          <w:bdr w:val="none" w:sz="0" w:space="0" w:color="auto" w:frame="1"/>
          <w:lang w:eastAsia="en-GB"/>
        </w:rPr>
        <w:t>anxiety caused or made worse by work, for people working in the last 12 months.</w:t>
      </w:r>
    </w:p>
    <w:p w:rsidR="009E68F7" w:rsidRPr="009E68F7" w:rsidRDefault="009E68F7" w:rsidP="009E68F7">
      <w:pPr>
        <w:spacing w:after="240" w:line="240" w:lineRule="auto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en-GB"/>
        </w:rPr>
      </w:pPr>
      <w:r w:rsidRPr="009E68F7">
        <w:rPr>
          <w:rFonts w:ascii="Arial" w:eastAsia="Times New Roman" w:hAnsi="Arial" w:cs="Arial"/>
          <w:noProof/>
          <w:color w:val="111111"/>
          <w:sz w:val="20"/>
          <w:szCs w:val="20"/>
          <w:lang w:eastAsia="en-GB"/>
        </w:rPr>
        <w:drawing>
          <wp:inline distT="0" distB="0" distL="0" distR="0" wp14:anchorId="652511B4" wp14:editId="16683170">
            <wp:extent cx="6648450" cy="2571750"/>
            <wp:effectExtent l="0" t="0" r="0" b="0"/>
            <wp:docPr id="2" name="Picture 2" descr="Figure 1: Rates for total cases and new cases of work-related stress, depression or anxiety in 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 1: Rates for total cases and new cases of work-related stress, depression or anxiety in G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EA8" w:rsidRDefault="009E68F7">
      <w:r>
        <w:t xml:space="preserve">Source </w:t>
      </w:r>
      <w:proofErr w:type="spellStart"/>
      <w:r>
        <w:t>HSE</w:t>
      </w:r>
      <w:proofErr w:type="spellEnd"/>
      <w:r>
        <w:t xml:space="preserve"> website</w:t>
      </w:r>
    </w:p>
    <w:sectPr w:rsidR="00BA4E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30755"/>
    <w:multiLevelType w:val="multilevel"/>
    <w:tmpl w:val="1026F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F7"/>
    <w:rsid w:val="000047E2"/>
    <w:rsid w:val="00025504"/>
    <w:rsid w:val="00033CF2"/>
    <w:rsid w:val="000437E9"/>
    <w:rsid w:val="00067B68"/>
    <w:rsid w:val="00071455"/>
    <w:rsid w:val="000A4BB7"/>
    <w:rsid w:val="000B084D"/>
    <w:rsid w:val="000B2322"/>
    <w:rsid w:val="000C62F1"/>
    <w:rsid w:val="000D556C"/>
    <w:rsid w:val="000D7685"/>
    <w:rsid w:val="000E3E9F"/>
    <w:rsid w:val="000F0689"/>
    <w:rsid w:val="00103B3D"/>
    <w:rsid w:val="00106EA0"/>
    <w:rsid w:val="00111662"/>
    <w:rsid w:val="00113138"/>
    <w:rsid w:val="00113A2D"/>
    <w:rsid w:val="0011479E"/>
    <w:rsid w:val="00114D2B"/>
    <w:rsid w:val="00135032"/>
    <w:rsid w:val="00143EAA"/>
    <w:rsid w:val="00166461"/>
    <w:rsid w:val="001670F0"/>
    <w:rsid w:val="00180982"/>
    <w:rsid w:val="00180C23"/>
    <w:rsid w:val="0018248F"/>
    <w:rsid w:val="0018621A"/>
    <w:rsid w:val="001A7F15"/>
    <w:rsid w:val="001B4C45"/>
    <w:rsid w:val="002043A3"/>
    <w:rsid w:val="00211DBC"/>
    <w:rsid w:val="00216E91"/>
    <w:rsid w:val="002232DC"/>
    <w:rsid w:val="002334B9"/>
    <w:rsid w:val="00256624"/>
    <w:rsid w:val="002570F0"/>
    <w:rsid w:val="0026525B"/>
    <w:rsid w:val="002745FB"/>
    <w:rsid w:val="00281524"/>
    <w:rsid w:val="002B516F"/>
    <w:rsid w:val="002C0FE0"/>
    <w:rsid w:val="002D0B35"/>
    <w:rsid w:val="002D3744"/>
    <w:rsid w:val="002D4D08"/>
    <w:rsid w:val="002D57B4"/>
    <w:rsid w:val="002E4259"/>
    <w:rsid w:val="002E5303"/>
    <w:rsid w:val="00305C24"/>
    <w:rsid w:val="0030657E"/>
    <w:rsid w:val="003473CC"/>
    <w:rsid w:val="00374586"/>
    <w:rsid w:val="003909E5"/>
    <w:rsid w:val="003B42E9"/>
    <w:rsid w:val="003C2BD3"/>
    <w:rsid w:val="003D273A"/>
    <w:rsid w:val="003E06D7"/>
    <w:rsid w:val="003E0ABF"/>
    <w:rsid w:val="003E0C68"/>
    <w:rsid w:val="003E507D"/>
    <w:rsid w:val="004006D6"/>
    <w:rsid w:val="00406F59"/>
    <w:rsid w:val="0040783D"/>
    <w:rsid w:val="00407841"/>
    <w:rsid w:val="00414EA6"/>
    <w:rsid w:val="00415712"/>
    <w:rsid w:val="00441622"/>
    <w:rsid w:val="00454CDC"/>
    <w:rsid w:val="00455B35"/>
    <w:rsid w:val="00455C48"/>
    <w:rsid w:val="00460D81"/>
    <w:rsid w:val="00461E6C"/>
    <w:rsid w:val="0047535F"/>
    <w:rsid w:val="00477113"/>
    <w:rsid w:val="004803B6"/>
    <w:rsid w:val="004816D8"/>
    <w:rsid w:val="00481DB1"/>
    <w:rsid w:val="00490A46"/>
    <w:rsid w:val="00491527"/>
    <w:rsid w:val="004921EF"/>
    <w:rsid w:val="004D0CE7"/>
    <w:rsid w:val="004D6F5B"/>
    <w:rsid w:val="004E04D7"/>
    <w:rsid w:val="004E2C06"/>
    <w:rsid w:val="004E37F7"/>
    <w:rsid w:val="004E6E54"/>
    <w:rsid w:val="004F1978"/>
    <w:rsid w:val="004F4EC6"/>
    <w:rsid w:val="0051162E"/>
    <w:rsid w:val="0051767C"/>
    <w:rsid w:val="00517B8A"/>
    <w:rsid w:val="00556170"/>
    <w:rsid w:val="0055673E"/>
    <w:rsid w:val="00564540"/>
    <w:rsid w:val="0057667E"/>
    <w:rsid w:val="005853F3"/>
    <w:rsid w:val="005A107D"/>
    <w:rsid w:val="005A7D2C"/>
    <w:rsid w:val="005B2FD8"/>
    <w:rsid w:val="005B55D6"/>
    <w:rsid w:val="005D09B4"/>
    <w:rsid w:val="005D0C2F"/>
    <w:rsid w:val="005D29EF"/>
    <w:rsid w:val="005D49F1"/>
    <w:rsid w:val="00610A42"/>
    <w:rsid w:val="00614B58"/>
    <w:rsid w:val="0062653C"/>
    <w:rsid w:val="00630FFE"/>
    <w:rsid w:val="00635662"/>
    <w:rsid w:val="006438FA"/>
    <w:rsid w:val="00644D09"/>
    <w:rsid w:val="00665ED3"/>
    <w:rsid w:val="006771C2"/>
    <w:rsid w:val="00682C6A"/>
    <w:rsid w:val="00690533"/>
    <w:rsid w:val="00691C85"/>
    <w:rsid w:val="00694FA0"/>
    <w:rsid w:val="006974EA"/>
    <w:rsid w:val="006A23BB"/>
    <w:rsid w:val="006A357B"/>
    <w:rsid w:val="006B7C74"/>
    <w:rsid w:val="006C2A54"/>
    <w:rsid w:val="006E7BD1"/>
    <w:rsid w:val="006F5504"/>
    <w:rsid w:val="00712BCB"/>
    <w:rsid w:val="0071635E"/>
    <w:rsid w:val="00727374"/>
    <w:rsid w:val="00742178"/>
    <w:rsid w:val="00743294"/>
    <w:rsid w:val="0075555E"/>
    <w:rsid w:val="007A14A3"/>
    <w:rsid w:val="007D1107"/>
    <w:rsid w:val="007D1383"/>
    <w:rsid w:val="007D5F65"/>
    <w:rsid w:val="007E6844"/>
    <w:rsid w:val="007E7B7A"/>
    <w:rsid w:val="007F42DD"/>
    <w:rsid w:val="008007EE"/>
    <w:rsid w:val="00800CFB"/>
    <w:rsid w:val="00813466"/>
    <w:rsid w:val="00815479"/>
    <w:rsid w:val="00820C0F"/>
    <w:rsid w:val="00820D6C"/>
    <w:rsid w:val="008274D8"/>
    <w:rsid w:val="00844363"/>
    <w:rsid w:val="008456A6"/>
    <w:rsid w:val="0085525A"/>
    <w:rsid w:val="00862266"/>
    <w:rsid w:val="0086448D"/>
    <w:rsid w:val="00876CC7"/>
    <w:rsid w:val="00886061"/>
    <w:rsid w:val="00892B2A"/>
    <w:rsid w:val="008B1DBE"/>
    <w:rsid w:val="008B7E26"/>
    <w:rsid w:val="008C42CC"/>
    <w:rsid w:val="008C7D51"/>
    <w:rsid w:val="008F40BE"/>
    <w:rsid w:val="0092210D"/>
    <w:rsid w:val="009538C9"/>
    <w:rsid w:val="00966146"/>
    <w:rsid w:val="00966981"/>
    <w:rsid w:val="00967747"/>
    <w:rsid w:val="00995361"/>
    <w:rsid w:val="00995E5E"/>
    <w:rsid w:val="009A79F4"/>
    <w:rsid w:val="009D1E76"/>
    <w:rsid w:val="009D5EBC"/>
    <w:rsid w:val="009E082D"/>
    <w:rsid w:val="009E68F7"/>
    <w:rsid w:val="009F2FD2"/>
    <w:rsid w:val="009F6193"/>
    <w:rsid w:val="00A02450"/>
    <w:rsid w:val="00A05221"/>
    <w:rsid w:val="00A25A8D"/>
    <w:rsid w:val="00A36A3D"/>
    <w:rsid w:val="00A43B41"/>
    <w:rsid w:val="00A44DF1"/>
    <w:rsid w:val="00A535DA"/>
    <w:rsid w:val="00A5658F"/>
    <w:rsid w:val="00A56C6D"/>
    <w:rsid w:val="00A63842"/>
    <w:rsid w:val="00A712FC"/>
    <w:rsid w:val="00A71B9C"/>
    <w:rsid w:val="00A72BF5"/>
    <w:rsid w:val="00A74371"/>
    <w:rsid w:val="00A839FC"/>
    <w:rsid w:val="00A84269"/>
    <w:rsid w:val="00AE7AE6"/>
    <w:rsid w:val="00AF04FA"/>
    <w:rsid w:val="00AF7332"/>
    <w:rsid w:val="00AF7801"/>
    <w:rsid w:val="00B01D6C"/>
    <w:rsid w:val="00B200FB"/>
    <w:rsid w:val="00B22C81"/>
    <w:rsid w:val="00B33CB0"/>
    <w:rsid w:val="00B35AD2"/>
    <w:rsid w:val="00B430C5"/>
    <w:rsid w:val="00B53C58"/>
    <w:rsid w:val="00B54BB4"/>
    <w:rsid w:val="00B6566E"/>
    <w:rsid w:val="00B734CF"/>
    <w:rsid w:val="00B767DD"/>
    <w:rsid w:val="00B82E69"/>
    <w:rsid w:val="00B950E7"/>
    <w:rsid w:val="00BA4EA8"/>
    <w:rsid w:val="00BA742B"/>
    <w:rsid w:val="00BB235E"/>
    <w:rsid w:val="00BE5EBF"/>
    <w:rsid w:val="00BF00CF"/>
    <w:rsid w:val="00BF16FF"/>
    <w:rsid w:val="00BF2697"/>
    <w:rsid w:val="00C0312F"/>
    <w:rsid w:val="00C216DC"/>
    <w:rsid w:val="00C23C93"/>
    <w:rsid w:val="00C322F3"/>
    <w:rsid w:val="00C42B12"/>
    <w:rsid w:val="00C438BE"/>
    <w:rsid w:val="00C500BD"/>
    <w:rsid w:val="00C512A3"/>
    <w:rsid w:val="00C62410"/>
    <w:rsid w:val="00C640A2"/>
    <w:rsid w:val="00C723E6"/>
    <w:rsid w:val="00C7530A"/>
    <w:rsid w:val="00C8708C"/>
    <w:rsid w:val="00C935A3"/>
    <w:rsid w:val="00C94D00"/>
    <w:rsid w:val="00CA1FFF"/>
    <w:rsid w:val="00CB39EA"/>
    <w:rsid w:val="00CC2D3C"/>
    <w:rsid w:val="00CC7EEE"/>
    <w:rsid w:val="00CD260A"/>
    <w:rsid w:val="00D20D38"/>
    <w:rsid w:val="00D41685"/>
    <w:rsid w:val="00D615E7"/>
    <w:rsid w:val="00D734F6"/>
    <w:rsid w:val="00D87C37"/>
    <w:rsid w:val="00D97583"/>
    <w:rsid w:val="00DB6CEF"/>
    <w:rsid w:val="00DB6F90"/>
    <w:rsid w:val="00DC369C"/>
    <w:rsid w:val="00DE72DF"/>
    <w:rsid w:val="00E015D4"/>
    <w:rsid w:val="00E1799C"/>
    <w:rsid w:val="00E315EC"/>
    <w:rsid w:val="00E472C8"/>
    <w:rsid w:val="00E51C1F"/>
    <w:rsid w:val="00E65D71"/>
    <w:rsid w:val="00E742BB"/>
    <w:rsid w:val="00E75205"/>
    <w:rsid w:val="00E77779"/>
    <w:rsid w:val="00E779FD"/>
    <w:rsid w:val="00E957C7"/>
    <w:rsid w:val="00EA5D75"/>
    <w:rsid w:val="00EB013E"/>
    <w:rsid w:val="00EC02B9"/>
    <w:rsid w:val="00EC4EEA"/>
    <w:rsid w:val="00F00112"/>
    <w:rsid w:val="00F02861"/>
    <w:rsid w:val="00F05025"/>
    <w:rsid w:val="00F1628E"/>
    <w:rsid w:val="00F24F4D"/>
    <w:rsid w:val="00F30A02"/>
    <w:rsid w:val="00F626EB"/>
    <w:rsid w:val="00F648E0"/>
    <w:rsid w:val="00F64BED"/>
    <w:rsid w:val="00F6579C"/>
    <w:rsid w:val="00F66004"/>
    <w:rsid w:val="00F725D2"/>
    <w:rsid w:val="00F775AD"/>
    <w:rsid w:val="00F92BDD"/>
    <w:rsid w:val="00FA3707"/>
    <w:rsid w:val="00FA7089"/>
    <w:rsid w:val="00FB7F5F"/>
    <w:rsid w:val="00FC5DB7"/>
    <w:rsid w:val="00FC5E8D"/>
    <w:rsid w:val="00FD52E3"/>
    <w:rsid w:val="00FE3305"/>
    <w:rsid w:val="00FE3E4D"/>
    <w:rsid w:val="00FE5580"/>
    <w:rsid w:val="00FF0585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BB393"/>
  <w15:chartTrackingRefBased/>
  <w15:docId w15:val="{C43674E2-1E10-4FBE-B1C2-FB5C3132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4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Thompson</dc:creator>
  <cp:keywords/>
  <dc:description/>
  <cp:lastModifiedBy>Brian Thompson</cp:lastModifiedBy>
  <cp:revision>1</cp:revision>
  <dcterms:created xsi:type="dcterms:W3CDTF">2017-01-18T16:04:00Z</dcterms:created>
  <dcterms:modified xsi:type="dcterms:W3CDTF">2017-01-18T16:06:00Z</dcterms:modified>
</cp:coreProperties>
</file>